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6377" w14:textId="77777777" w:rsidR="00E9566B" w:rsidRPr="00E9566B" w:rsidRDefault="00E9566B" w:rsidP="00A60CCF">
      <w:pPr>
        <w:pStyle w:val="Kop1"/>
        <w:numPr>
          <w:ilvl w:val="0"/>
          <w:numId w:val="12"/>
        </w:numPr>
        <w:rPr>
          <w:rFonts w:asciiTheme="minorHAnsi" w:hAnsiTheme="minorHAnsi" w:cstheme="minorHAnsi"/>
          <w:color w:val="auto"/>
        </w:rPr>
      </w:pPr>
      <w:bookmarkStart w:id="0" w:name="_Toc441051192"/>
      <w:bookmarkStart w:id="1" w:name="_Toc508867676"/>
      <w:bookmarkStart w:id="2" w:name="_Toc474320702"/>
      <w:bookmarkStart w:id="3" w:name="_Toc35288575"/>
      <w:r w:rsidRPr="00E9566B">
        <w:rPr>
          <w:rFonts w:asciiTheme="minorHAnsi" w:hAnsiTheme="minorHAnsi" w:cstheme="minorHAnsi"/>
          <w:color w:val="auto"/>
        </w:rPr>
        <w:t>Reductiedoelstellingen</w:t>
      </w:r>
      <w:bookmarkEnd w:id="0"/>
      <w:bookmarkEnd w:id="1"/>
    </w:p>
    <w:p w14:paraId="317C95E3" w14:textId="77777777" w:rsidR="00E9566B" w:rsidRPr="00100514" w:rsidRDefault="00E9566B" w:rsidP="00E9566B">
      <w:pPr>
        <w:rPr>
          <w:rFonts w:cstheme="minorHAnsi"/>
          <w:sz w:val="18"/>
          <w:szCs w:val="18"/>
        </w:rPr>
      </w:pPr>
      <w:r w:rsidRPr="00100514">
        <w:rPr>
          <w:rFonts w:cstheme="minorHAnsi"/>
          <w:sz w:val="18"/>
          <w:szCs w:val="18"/>
        </w:rPr>
        <w:t>De belangrijkste energieverbruikers zoals bepaald in de jaarbeoordeling zijn gebruikt om de reductiedoelstellingen vorm te geven. Om in de dagelijkse praktijk ook daadwerkelijk tot reducties te komen hebben de reductiedoelstellingen ook betrekking op de projecten.</w:t>
      </w:r>
    </w:p>
    <w:p w14:paraId="138EEE26" w14:textId="77777777" w:rsidR="00E9566B" w:rsidRPr="00100514" w:rsidRDefault="00E9566B" w:rsidP="00E9566B">
      <w:pPr>
        <w:rPr>
          <w:rFonts w:cstheme="minorHAnsi"/>
          <w:sz w:val="18"/>
          <w:szCs w:val="18"/>
        </w:rPr>
      </w:pPr>
      <w:r w:rsidRPr="00100514">
        <w:rPr>
          <w:rFonts w:cstheme="minorHAnsi"/>
          <w:sz w:val="18"/>
          <w:szCs w:val="18"/>
        </w:rPr>
        <w:t>Voor Scope 1 &amp; 2 zijn aparte reductiedoelstellingen opgesteld op bedrijfsniveau. In het volgende hoofdstuk beschrijft welke maatregelen er getroffen worden om deze reductiedoelstellingen te behalen binnen de organisatie en binnen de projecten.</w:t>
      </w:r>
    </w:p>
    <w:p w14:paraId="6D52E29F" w14:textId="77777777" w:rsidR="00E9566B" w:rsidRPr="00AA509B" w:rsidRDefault="00E9566B" w:rsidP="00E9566B">
      <w:pPr>
        <w:pStyle w:val="Kop2"/>
        <w:numPr>
          <w:ilvl w:val="1"/>
          <w:numId w:val="10"/>
        </w:numPr>
        <w:tabs>
          <w:tab w:val="num" w:pos="737"/>
        </w:tabs>
        <w:snapToGrid/>
        <w:rPr>
          <w:rFonts w:asciiTheme="minorHAnsi" w:hAnsiTheme="minorHAnsi" w:cstheme="minorHAnsi"/>
          <w:sz w:val="18"/>
          <w:szCs w:val="18"/>
        </w:rPr>
      </w:pPr>
      <w:bookmarkStart w:id="4" w:name="_Toc441051193"/>
      <w:bookmarkStart w:id="5" w:name="_Toc508867677"/>
      <w:r w:rsidRPr="00AA509B">
        <w:rPr>
          <w:rFonts w:asciiTheme="minorHAnsi" w:hAnsiTheme="minorHAnsi" w:cstheme="minorHAnsi"/>
          <w:sz w:val="18"/>
          <w:szCs w:val="18"/>
        </w:rPr>
        <w:t>Bedrijfsdoelstelling</w:t>
      </w:r>
      <w:bookmarkEnd w:id="4"/>
      <w:bookmarkEnd w:id="5"/>
    </w:p>
    <w:p w14:paraId="1FCCDE28" w14:textId="7C62AC95" w:rsidR="00E9566B" w:rsidRPr="00AA509B" w:rsidRDefault="00E9566B" w:rsidP="00E9566B">
      <w:pPr>
        <w:pStyle w:val="Geenafstand1"/>
        <w:rPr>
          <w:sz w:val="18"/>
          <w:szCs w:val="18"/>
        </w:rPr>
      </w:pPr>
      <w:r w:rsidRPr="00AA509B">
        <w:rPr>
          <w:sz w:val="18"/>
          <w:szCs w:val="18"/>
        </w:rPr>
        <w:t>De directie van</w:t>
      </w:r>
      <w:r w:rsidR="00106D41">
        <w:rPr>
          <w:sz w:val="18"/>
          <w:szCs w:val="18"/>
        </w:rPr>
        <w:t xml:space="preserve"> </w:t>
      </w:r>
      <w:proofErr w:type="spellStart"/>
      <w:r w:rsidRPr="00AA509B">
        <w:rPr>
          <w:sz w:val="18"/>
          <w:szCs w:val="18"/>
        </w:rPr>
        <w:t>Van</w:t>
      </w:r>
      <w:proofErr w:type="spellEnd"/>
      <w:r w:rsidRPr="00AA509B">
        <w:rPr>
          <w:sz w:val="18"/>
          <w:szCs w:val="18"/>
        </w:rPr>
        <w:t xml:space="preserve"> Vuuren Elektrotechniek B.V. (hierna te noemen VVE) heeft de volgende reductiedoelstelling</w:t>
      </w:r>
      <w:r>
        <w:rPr>
          <w:sz w:val="18"/>
          <w:szCs w:val="18"/>
        </w:rPr>
        <w:t>en</w:t>
      </w:r>
      <w:r w:rsidRPr="00AA509B">
        <w:rPr>
          <w:sz w:val="18"/>
          <w:szCs w:val="18"/>
        </w:rPr>
        <w:t xml:space="preserve"> gesteld:</w:t>
      </w:r>
    </w:p>
    <w:p w14:paraId="117369B1" w14:textId="77777777" w:rsidR="00E9566B" w:rsidRPr="00AA509B" w:rsidRDefault="00E9566B" w:rsidP="00E9566B">
      <w:pPr>
        <w:pStyle w:val="Geenafstand1"/>
        <w:rPr>
          <w:sz w:val="18"/>
          <w:szCs w:val="18"/>
        </w:rPr>
      </w:pPr>
    </w:p>
    <w:p w14:paraId="13AA77E1" w14:textId="77777777" w:rsidR="00E9566B" w:rsidRPr="00AA509B" w:rsidRDefault="00E9566B" w:rsidP="00E9566B">
      <w:pPr>
        <w:pStyle w:val="Kop2"/>
        <w:numPr>
          <w:ilvl w:val="1"/>
          <w:numId w:val="10"/>
        </w:numPr>
        <w:tabs>
          <w:tab w:val="num" w:pos="737"/>
        </w:tabs>
        <w:snapToGrid/>
        <w:rPr>
          <w:rFonts w:asciiTheme="minorHAnsi" w:hAnsiTheme="minorHAnsi" w:cstheme="minorHAnsi"/>
          <w:sz w:val="18"/>
          <w:szCs w:val="18"/>
        </w:rPr>
      </w:pPr>
      <w:bookmarkStart w:id="6" w:name="_Toc441051194"/>
      <w:bookmarkStart w:id="7" w:name="_Toc508867678"/>
      <w:r w:rsidRPr="00100514">
        <w:rPr>
          <w:rFonts w:asciiTheme="minorHAnsi" w:hAnsiTheme="minorHAnsi" w:cstheme="minorHAnsi"/>
          <w:sz w:val="18"/>
          <w:szCs w:val="18"/>
        </w:rPr>
        <w:t>Scope 1</w:t>
      </w:r>
      <w:bookmarkEnd w:id="6"/>
      <w:bookmarkEnd w:id="7"/>
    </w:p>
    <w:p w14:paraId="0DC5BEA5" w14:textId="77777777" w:rsidR="00E9566B" w:rsidRPr="00156160" w:rsidRDefault="00E9566B" w:rsidP="00E9566B">
      <w:pPr>
        <w:pStyle w:val="Geenafstand1"/>
        <w:rPr>
          <w:sz w:val="18"/>
          <w:szCs w:val="18"/>
        </w:rPr>
      </w:pPr>
      <w:r w:rsidRPr="001C581D">
        <w:rPr>
          <w:sz w:val="18"/>
          <w:szCs w:val="18"/>
        </w:rPr>
        <w:t>Reductiedoelstelling Scope 1</w:t>
      </w:r>
      <w:r w:rsidRPr="00156160">
        <w:rPr>
          <w:sz w:val="18"/>
          <w:szCs w:val="18"/>
        </w:rPr>
        <w:t xml:space="preserve">: </w:t>
      </w:r>
      <w:r>
        <w:rPr>
          <w:sz w:val="18"/>
          <w:szCs w:val="18"/>
        </w:rPr>
        <w:t>15</w:t>
      </w:r>
      <w:r w:rsidRPr="00156160">
        <w:rPr>
          <w:sz w:val="18"/>
          <w:szCs w:val="18"/>
        </w:rPr>
        <w:t>% CO2 reductie in 202</w:t>
      </w:r>
      <w:r>
        <w:rPr>
          <w:sz w:val="18"/>
          <w:szCs w:val="18"/>
        </w:rPr>
        <w:t>2</w:t>
      </w:r>
      <w:r w:rsidRPr="00156160">
        <w:rPr>
          <w:sz w:val="18"/>
          <w:szCs w:val="18"/>
        </w:rPr>
        <w:t xml:space="preserve"> ten opzichte van 201</w:t>
      </w:r>
      <w:r>
        <w:rPr>
          <w:sz w:val="18"/>
          <w:szCs w:val="18"/>
        </w:rPr>
        <w:t>7.</w:t>
      </w:r>
    </w:p>
    <w:p w14:paraId="762F737D" w14:textId="77777777" w:rsidR="00E9566B" w:rsidRPr="00156160" w:rsidRDefault="00E9566B" w:rsidP="00E9566B">
      <w:pPr>
        <w:pStyle w:val="Lijst"/>
        <w:tabs>
          <w:tab w:val="clear" w:pos="0"/>
          <w:tab w:val="num" w:pos="142"/>
        </w:tabs>
        <w:ind w:left="499"/>
        <w:rPr>
          <w:rFonts w:asciiTheme="minorHAnsi" w:hAnsiTheme="minorHAnsi" w:cstheme="minorHAnsi"/>
          <w:sz w:val="18"/>
          <w:szCs w:val="18"/>
        </w:rPr>
      </w:pPr>
      <w:r w:rsidRPr="00156160">
        <w:rPr>
          <w:rFonts w:asciiTheme="minorHAnsi" w:hAnsiTheme="minorHAnsi" w:cstheme="minorHAnsi"/>
          <w:sz w:val="18"/>
          <w:szCs w:val="18"/>
        </w:rPr>
        <w:t>Deze reductiedoelstelling heeft betrekking op de volgende significante emissiestromen:</w:t>
      </w:r>
    </w:p>
    <w:p w14:paraId="156E816B" w14:textId="77777777" w:rsidR="00E9566B" w:rsidRPr="00156160" w:rsidRDefault="00E9566B" w:rsidP="00E9566B">
      <w:pPr>
        <w:pStyle w:val="Lijst"/>
        <w:numPr>
          <w:ilvl w:val="1"/>
          <w:numId w:val="1"/>
        </w:numPr>
        <w:rPr>
          <w:rFonts w:asciiTheme="minorHAnsi" w:hAnsiTheme="minorHAnsi" w:cstheme="minorHAnsi"/>
          <w:sz w:val="18"/>
          <w:szCs w:val="18"/>
        </w:rPr>
      </w:pPr>
      <w:r w:rsidRPr="00156160">
        <w:rPr>
          <w:rFonts w:asciiTheme="minorHAnsi" w:hAnsiTheme="minorHAnsi" w:cstheme="minorHAnsi"/>
          <w:sz w:val="18"/>
          <w:szCs w:val="18"/>
        </w:rPr>
        <w:t>Brandstofverbruik wagenpark en materieel</w:t>
      </w:r>
    </w:p>
    <w:p w14:paraId="4B6794DA" w14:textId="77777777" w:rsidR="00E9566B" w:rsidRPr="00156160" w:rsidRDefault="00E9566B" w:rsidP="00E9566B">
      <w:pPr>
        <w:pStyle w:val="Lijst"/>
        <w:numPr>
          <w:ilvl w:val="1"/>
          <w:numId w:val="1"/>
        </w:numPr>
        <w:rPr>
          <w:rFonts w:asciiTheme="minorHAnsi" w:hAnsiTheme="minorHAnsi" w:cstheme="minorHAnsi"/>
          <w:sz w:val="18"/>
          <w:szCs w:val="18"/>
        </w:rPr>
      </w:pPr>
      <w:r w:rsidRPr="00156160">
        <w:rPr>
          <w:rFonts w:asciiTheme="minorHAnsi" w:hAnsiTheme="minorHAnsi" w:cstheme="minorHAnsi"/>
          <w:sz w:val="18"/>
          <w:szCs w:val="18"/>
        </w:rPr>
        <w:t>Verwarming</w:t>
      </w:r>
    </w:p>
    <w:p w14:paraId="5FC644C3" w14:textId="77777777" w:rsidR="00E9566B" w:rsidRPr="00156160" w:rsidRDefault="00E9566B" w:rsidP="00E9566B">
      <w:pPr>
        <w:pStyle w:val="Lijst"/>
        <w:tabs>
          <w:tab w:val="clear" w:pos="0"/>
          <w:tab w:val="num" w:pos="142"/>
        </w:tabs>
        <w:ind w:left="499"/>
        <w:rPr>
          <w:rFonts w:asciiTheme="minorHAnsi" w:hAnsiTheme="minorHAnsi" w:cstheme="minorHAnsi"/>
          <w:sz w:val="18"/>
          <w:szCs w:val="18"/>
        </w:rPr>
      </w:pPr>
      <w:r w:rsidRPr="00156160">
        <w:rPr>
          <w:rFonts w:asciiTheme="minorHAnsi" w:hAnsiTheme="minorHAnsi" w:cstheme="minorHAnsi"/>
          <w:sz w:val="18"/>
          <w:szCs w:val="18"/>
        </w:rPr>
        <w:t>De doelstelling heeft op de volgende wijze betrekking op de projecten:</w:t>
      </w:r>
    </w:p>
    <w:p w14:paraId="5448D750" w14:textId="77777777" w:rsidR="00E9566B" w:rsidRPr="00156160" w:rsidRDefault="00E9566B" w:rsidP="00E9566B">
      <w:pPr>
        <w:pStyle w:val="Lijst"/>
        <w:numPr>
          <w:ilvl w:val="1"/>
          <w:numId w:val="1"/>
        </w:numPr>
        <w:rPr>
          <w:rFonts w:asciiTheme="minorHAnsi" w:hAnsiTheme="minorHAnsi" w:cstheme="minorHAnsi"/>
          <w:sz w:val="18"/>
          <w:szCs w:val="18"/>
        </w:rPr>
      </w:pPr>
      <w:r w:rsidRPr="00156160">
        <w:rPr>
          <w:rFonts w:asciiTheme="minorHAnsi" w:hAnsiTheme="minorHAnsi" w:cstheme="minorHAnsi"/>
          <w:sz w:val="18"/>
          <w:szCs w:val="18"/>
        </w:rPr>
        <w:t>Het materieel wordt uitsluitend gebruikt in projecten;</w:t>
      </w:r>
    </w:p>
    <w:p w14:paraId="0978F62D" w14:textId="77777777" w:rsidR="00E9566B" w:rsidRPr="00156160" w:rsidRDefault="00E9566B" w:rsidP="00E9566B">
      <w:pPr>
        <w:pStyle w:val="Lijst"/>
        <w:numPr>
          <w:ilvl w:val="1"/>
          <w:numId w:val="1"/>
        </w:numPr>
        <w:rPr>
          <w:rFonts w:asciiTheme="minorHAnsi" w:hAnsiTheme="minorHAnsi" w:cstheme="minorHAnsi"/>
          <w:sz w:val="18"/>
          <w:szCs w:val="18"/>
        </w:rPr>
      </w:pPr>
      <w:r w:rsidRPr="00156160">
        <w:rPr>
          <w:rFonts w:asciiTheme="minorHAnsi" w:hAnsiTheme="minorHAnsi" w:cstheme="minorHAnsi"/>
          <w:sz w:val="18"/>
          <w:szCs w:val="18"/>
        </w:rPr>
        <w:t>Het wagenpark wordt voornamelijk gebruikt in projecten.</w:t>
      </w:r>
    </w:p>
    <w:p w14:paraId="0088D539" w14:textId="77777777" w:rsidR="00E9566B" w:rsidRPr="00156160" w:rsidRDefault="00E9566B" w:rsidP="00E9566B">
      <w:pPr>
        <w:pStyle w:val="Lijst"/>
        <w:numPr>
          <w:ilvl w:val="0"/>
          <w:numId w:val="0"/>
        </w:numPr>
        <w:ind w:left="357"/>
        <w:rPr>
          <w:rFonts w:asciiTheme="minorHAnsi" w:hAnsiTheme="minorHAnsi" w:cstheme="minorHAnsi"/>
          <w:sz w:val="18"/>
          <w:szCs w:val="18"/>
        </w:rPr>
      </w:pPr>
    </w:p>
    <w:p w14:paraId="1C689A04" w14:textId="77777777" w:rsidR="00E9566B" w:rsidRPr="00156160" w:rsidRDefault="00E9566B" w:rsidP="00E9566B">
      <w:pPr>
        <w:pStyle w:val="Kop2"/>
        <w:numPr>
          <w:ilvl w:val="1"/>
          <w:numId w:val="10"/>
        </w:numPr>
        <w:tabs>
          <w:tab w:val="num" w:pos="737"/>
        </w:tabs>
        <w:snapToGrid/>
        <w:rPr>
          <w:rFonts w:asciiTheme="minorHAnsi" w:hAnsiTheme="minorHAnsi" w:cstheme="minorHAnsi"/>
          <w:sz w:val="18"/>
          <w:szCs w:val="18"/>
        </w:rPr>
      </w:pPr>
      <w:bookmarkStart w:id="8" w:name="_Toc441051195"/>
      <w:bookmarkStart w:id="9" w:name="_Toc508867679"/>
      <w:r w:rsidRPr="00156160">
        <w:rPr>
          <w:rFonts w:asciiTheme="minorHAnsi" w:hAnsiTheme="minorHAnsi" w:cstheme="minorHAnsi"/>
          <w:sz w:val="18"/>
          <w:szCs w:val="18"/>
        </w:rPr>
        <w:t>Scope 2</w:t>
      </w:r>
      <w:bookmarkEnd w:id="8"/>
      <w:bookmarkEnd w:id="9"/>
    </w:p>
    <w:p w14:paraId="73E948AB" w14:textId="77777777" w:rsidR="00E9566B" w:rsidRPr="00572A76" w:rsidRDefault="00E9566B" w:rsidP="00E9566B">
      <w:pPr>
        <w:pStyle w:val="Lijst"/>
        <w:numPr>
          <w:ilvl w:val="0"/>
          <w:numId w:val="0"/>
        </w:numPr>
        <w:rPr>
          <w:rFonts w:asciiTheme="minorHAnsi" w:hAnsiTheme="minorHAnsi" w:cstheme="minorHAnsi"/>
          <w:sz w:val="18"/>
          <w:szCs w:val="18"/>
        </w:rPr>
      </w:pPr>
      <w:bookmarkStart w:id="10" w:name="_Hlk508115343"/>
      <w:r w:rsidRPr="00156160">
        <w:rPr>
          <w:rFonts w:asciiTheme="minorHAnsi" w:hAnsiTheme="minorHAnsi" w:cstheme="minorHAnsi"/>
          <w:sz w:val="18"/>
          <w:szCs w:val="18"/>
        </w:rPr>
        <w:t xml:space="preserve">Reductiedoelstelling Scope 2: </w:t>
      </w:r>
      <w:r>
        <w:rPr>
          <w:rFonts w:asciiTheme="minorHAnsi" w:hAnsiTheme="minorHAnsi" w:cstheme="minorHAnsi"/>
          <w:sz w:val="18"/>
          <w:szCs w:val="18"/>
        </w:rPr>
        <w:t>20</w:t>
      </w:r>
      <w:r w:rsidRPr="00156160">
        <w:rPr>
          <w:rFonts w:asciiTheme="minorHAnsi" w:hAnsiTheme="minorHAnsi" w:cstheme="minorHAnsi"/>
          <w:sz w:val="18"/>
          <w:szCs w:val="18"/>
        </w:rPr>
        <w:t>% CO2</w:t>
      </w:r>
      <w:r w:rsidRPr="00572A76">
        <w:rPr>
          <w:rFonts w:asciiTheme="minorHAnsi" w:hAnsiTheme="minorHAnsi" w:cstheme="minorHAnsi"/>
          <w:sz w:val="18"/>
          <w:szCs w:val="18"/>
        </w:rPr>
        <w:t xml:space="preserve"> reductie in 20</w:t>
      </w:r>
      <w:r>
        <w:rPr>
          <w:rFonts w:asciiTheme="minorHAnsi" w:hAnsiTheme="minorHAnsi" w:cstheme="minorHAnsi"/>
          <w:sz w:val="18"/>
          <w:szCs w:val="18"/>
        </w:rPr>
        <w:t xml:space="preserve">22 </w:t>
      </w:r>
      <w:r w:rsidRPr="00572A76">
        <w:rPr>
          <w:rFonts w:asciiTheme="minorHAnsi" w:hAnsiTheme="minorHAnsi" w:cstheme="minorHAnsi"/>
          <w:sz w:val="18"/>
          <w:szCs w:val="18"/>
        </w:rPr>
        <w:t>ten opzichte van 201</w:t>
      </w:r>
      <w:r>
        <w:rPr>
          <w:rFonts w:asciiTheme="minorHAnsi" w:hAnsiTheme="minorHAnsi" w:cstheme="minorHAnsi"/>
          <w:sz w:val="18"/>
          <w:szCs w:val="18"/>
        </w:rPr>
        <w:t>7.</w:t>
      </w:r>
    </w:p>
    <w:bookmarkEnd w:id="10"/>
    <w:p w14:paraId="5795BCD2" w14:textId="77777777" w:rsidR="00E9566B" w:rsidRPr="00100514" w:rsidRDefault="00E9566B" w:rsidP="00E9566B">
      <w:pPr>
        <w:pStyle w:val="Lijst"/>
        <w:tabs>
          <w:tab w:val="clear" w:pos="0"/>
          <w:tab w:val="num" w:pos="142"/>
        </w:tabs>
        <w:ind w:left="499"/>
        <w:rPr>
          <w:rFonts w:asciiTheme="minorHAnsi" w:hAnsiTheme="minorHAnsi" w:cstheme="minorHAnsi"/>
          <w:sz w:val="18"/>
          <w:szCs w:val="18"/>
        </w:rPr>
      </w:pPr>
      <w:r w:rsidRPr="00100514">
        <w:rPr>
          <w:rFonts w:asciiTheme="minorHAnsi" w:hAnsiTheme="minorHAnsi" w:cstheme="minorHAnsi"/>
          <w:sz w:val="18"/>
          <w:szCs w:val="18"/>
        </w:rPr>
        <w:t>Deze reductiedoelstelling heeft betrekking op de volgende meest materiële emissies:</w:t>
      </w:r>
    </w:p>
    <w:p w14:paraId="2679ADB7" w14:textId="77777777" w:rsidR="00E9566B" w:rsidRPr="00100514" w:rsidRDefault="00E9566B" w:rsidP="00E9566B">
      <w:pPr>
        <w:pStyle w:val="Lijst"/>
        <w:numPr>
          <w:ilvl w:val="1"/>
          <w:numId w:val="1"/>
        </w:numPr>
        <w:rPr>
          <w:rFonts w:asciiTheme="minorHAnsi" w:hAnsiTheme="minorHAnsi" w:cstheme="minorHAnsi"/>
          <w:sz w:val="18"/>
          <w:szCs w:val="18"/>
        </w:rPr>
      </w:pPr>
      <w:r w:rsidRPr="00100514">
        <w:rPr>
          <w:rFonts w:asciiTheme="minorHAnsi" w:hAnsiTheme="minorHAnsi" w:cstheme="minorHAnsi"/>
          <w:sz w:val="18"/>
          <w:szCs w:val="18"/>
        </w:rPr>
        <w:t>Elektriciteit</w:t>
      </w:r>
    </w:p>
    <w:p w14:paraId="250A0EC3" w14:textId="77777777" w:rsidR="00E9566B" w:rsidRPr="00100514" w:rsidRDefault="00E9566B" w:rsidP="00E9566B">
      <w:pPr>
        <w:pStyle w:val="Lijst"/>
        <w:tabs>
          <w:tab w:val="clear" w:pos="0"/>
          <w:tab w:val="num" w:pos="142"/>
        </w:tabs>
        <w:ind w:left="499"/>
        <w:rPr>
          <w:rFonts w:asciiTheme="minorHAnsi" w:hAnsiTheme="minorHAnsi" w:cstheme="minorHAnsi"/>
          <w:sz w:val="18"/>
          <w:szCs w:val="18"/>
        </w:rPr>
      </w:pPr>
      <w:r w:rsidRPr="00100514">
        <w:rPr>
          <w:rFonts w:asciiTheme="minorHAnsi" w:hAnsiTheme="minorHAnsi" w:cstheme="minorHAnsi"/>
          <w:sz w:val="18"/>
          <w:szCs w:val="18"/>
        </w:rPr>
        <w:t>De doelstelling heeft op de volgende wijze betrekking op de projecten:</w:t>
      </w:r>
    </w:p>
    <w:p w14:paraId="0DE51B0C" w14:textId="77777777" w:rsidR="00E9566B" w:rsidRDefault="00E9566B" w:rsidP="00E9566B">
      <w:pPr>
        <w:pStyle w:val="Lijst"/>
        <w:numPr>
          <w:ilvl w:val="1"/>
          <w:numId w:val="1"/>
        </w:numPr>
        <w:rPr>
          <w:rFonts w:asciiTheme="minorHAnsi" w:hAnsiTheme="minorHAnsi" w:cstheme="minorHAnsi"/>
          <w:sz w:val="18"/>
          <w:szCs w:val="18"/>
        </w:rPr>
      </w:pPr>
      <w:r w:rsidRPr="00100514">
        <w:rPr>
          <w:rFonts w:asciiTheme="minorHAnsi" w:hAnsiTheme="minorHAnsi" w:cstheme="minorHAnsi"/>
          <w:sz w:val="18"/>
          <w:szCs w:val="18"/>
        </w:rPr>
        <w:t>Elektriciteit wordt verbruikt in het kantoor ter voorbereiding van projecten en voor administratie(computers) en in de werkplaats voor onderhoud van het materieel welke uitsluitend op de projecten worden gebruikt.</w:t>
      </w:r>
    </w:p>
    <w:p w14:paraId="294B446C" w14:textId="77777777" w:rsidR="00E9566B" w:rsidRDefault="00E9566B" w:rsidP="00E9566B">
      <w:pPr>
        <w:pStyle w:val="Lijst"/>
        <w:numPr>
          <w:ilvl w:val="0"/>
          <w:numId w:val="0"/>
        </w:numPr>
        <w:ind w:left="714"/>
        <w:rPr>
          <w:rFonts w:asciiTheme="minorHAnsi" w:hAnsiTheme="minorHAnsi" w:cstheme="minorHAnsi"/>
          <w:sz w:val="18"/>
          <w:szCs w:val="18"/>
        </w:rPr>
      </w:pPr>
    </w:p>
    <w:p w14:paraId="478CAB64" w14:textId="77777777" w:rsidR="00E9566B" w:rsidRDefault="00E9566B" w:rsidP="00E9566B">
      <w:pPr>
        <w:pStyle w:val="Lijst"/>
        <w:numPr>
          <w:ilvl w:val="0"/>
          <w:numId w:val="0"/>
        </w:numPr>
        <w:ind w:left="499" w:hanging="357"/>
      </w:pPr>
      <w:r>
        <w:rPr>
          <w:noProof/>
        </w:rPr>
        <mc:AlternateContent>
          <mc:Choice Requires="wps">
            <w:drawing>
              <wp:anchor distT="0" distB="0" distL="114300" distR="114300" simplePos="0" relativeHeight="251659264" behindDoc="0" locked="0" layoutInCell="1" allowOverlap="1" wp14:anchorId="73ED0387" wp14:editId="66AD3D43">
                <wp:simplePos x="0" y="0"/>
                <wp:positionH relativeFrom="margin">
                  <wp:align>right</wp:align>
                </wp:positionH>
                <wp:positionV relativeFrom="paragraph">
                  <wp:posOffset>80645</wp:posOffset>
                </wp:positionV>
                <wp:extent cx="5648325" cy="649020"/>
                <wp:effectExtent l="76200" t="57150" r="104775" b="113030"/>
                <wp:wrapNone/>
                <wp:docPr id="2" name="Rechthoek 2"/>
                <wp:cNvGraphicFramePr/>
                <a:graphic xmlns:a="http://schemas.openxmlformats.org/drawingml/2006/main">
                  <a:graphicData uri="http://schemas.microsoft.com/office/word/2010/wordprocessingShape">
                    <wps:wsp>
                      <wps:cNvSpPr/>
                      <wps:spPr>
                        <a:xfrm>
                          <a:off x="0" y="0"/>
                          <a:ext cx="5648325" cy="649020"/>
                        </a:xfrm>
                        <a:prstGeom prst="rect">
                          <a:avLst/>
                        </a:prstGeom>
                        <a:noFill/>
                        <a:ln w="57150"/>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41908" id="Rechthoek 2" o:spid="_x0000_s1026" style="position:absolute;margin-left:393.55pt;margin-top:6.35pt;width:444.75pt;height:5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aBbwIAADIFAAAOAAAAZHJzL2Uyb0RvYy54bWysVFtP2zAUfp+0/2D5faTJWi4VKapATJMQ&#10;IC7i2Tg2iXB8vGO3affrd+ykoWJIm6a9OMc59+98x6dnm9awtULfgC15fjDhTFkJVWNfSv74cPnl&#10;mDMfhK2EAatKvlWeny0+fzrt3FwVUIOpFDIKYv28cyWvQ3DzLPOyVq3wB+CUJaUGbEWgK75kFYqO&#10;orcmKyaTw6wDrByCVN7T34teyRcpvtZKhhutvQrMlJxqC+nEdD7HM1ucivkLClc3cihD/EMVrWgs&#10;JR1DXYgg2Aqb30K1jUTwoMOBhDYDrRupUg/UTT551819LZxKvRA43o0w+f8XVl6vb5E1VckLzqxo&#10;aUR3StahBvXKighP5/ycrO7dLQ43T2LsdaOxjV/qgm0SpNsRUrUJTNLP2eH0+Gsx40yS7nB6MikS&#10;5tmbt0MfviloWRRKjjSyhKRYX/lAGcl0ZxKTWbhsjEljM5Z1lOEon/UxY6V9bUkKW6Oih7F3SlOL&#10;VE2eIidyqXODbC2IFkJKZcMs9kq5knV005RmdCz+7DjYR1eViDc6/0XW0SNlBhtG57axgB9lr17z&#10;oWTd21P5e31H8RmqLU0Xoae9d/KyIZCvhA+3AonntBG0u+GGDm2AwIRB4qwG/PnR/2hP9CMtZx3t&#10;Tcn9j5VAxZn5bomYJ/l0GhctXaazI5o3w33N877GrtpzoBnk9Eo4mcRoH8xO1AjtE634MmYllbCS&#10;cpdcBtxdzkO/z/RISLVcJjNaLifClb13cjf1SKKHzZNANzAtEEevYbdjYv6OcL1tnIeF5SqAbhIb&#10;33Ad8KbFTMQZHpG4+fv3ZPX21C1+AQAA//8DAFBLAwQUAAYACAAAACEAg3RkjN0AAAAHAQAADwAA&#10;AGRycy9kb3ducmV2LnhtbEyPzU7DMBCE70i8g7VI3KiTijY/jVMhqsIBLhQOPbqxSSLidWRv2vD2&#10;LCc4zsxq5ttqO7tBnG2IvUcF6SIBYbHxpsdWwcf7/i4HEUmj0YNHq+DbRtjW11eVLo2/4Js9H6gV&#10;XIKx1Ao6orGUMjaddTou/GiRs08fnCaWoZUm6AuXu0Euk2Qtne6RFzo92sfONl+HySmYdsfnIm3X&#10;L6+78EQ07LNV5oNStzfzwwYE2Zn+juEXn9GhZqaTn9BEMSjgR4jdZQaC0zwvViBObKT3Bci6kv/5&#10;6x8AAAD//wMAUEsBAi0AFAAGAAgAAAAhALaDOJL+AAAA4QEAABMAAAAAAAAAAAAAAAAAAAAAAFtD&#10;b250ZW50X1R5cGVzXS54bWxQSwECLQAUAAYACAAAACEAOP0h/9YAAACUAQAACwAAAAAAAAAAAAAA&#10;AAAvAQAAX3JlbHMvLnJlbHNQSwECLQAUAAYACAAAACEAwm7mgW8CAAAyBQAADgAAAAAAAAAAAAAA&#10;AAAuAgAAZHJzL2Uyb0RvYy54bWxQSwECLQAUAAYACAAAACEAg3RkjN0AAAAHAQAADwAAAAAAAAAA&#10;AAAAAADJBAAAZHJzL2Rvd25yZXYueG1sUEsFBgAAAAAEAAQA8wAAANMFAAAAAA==&#10;" filled="f" strokecolor="#5b9bd5 [3208]" strokeweight="4.5pt">
                <w10:wrap anchorx="margin"/>
              </v:rect>
            </w:pict>
          </mc:Fallback>
        </mc:AlternateContent>
      </w:r>
    </w:p>
    <w:p w14:paraId="7A97F218" w14:textId="77777777" w:rsidR="00E9566B" w:rsidRDefault="00E9566B" w:rsidP="00E9566B">
      <w:pPr>
        <w:pStyle w:val="Lijst"/>
        <w:numPr>
          <w:ilvl w:val="0"/>
          <w:numId w:val="0"/>
        </w:numPr>
        <w:ind w:left="499" w:hanging="357"/>
        <w:rPr>
          <w:sz w:val="18"/>
          <w:szCs w:val="18"/>
        </w:rPr>
      </w:pPr>
      <w:r w:rsidRPr="000C0387">
        <w:rPr>
          <w:sz w:val="18"/>
          <w:szCs w:val="18"/>
        </w:rPr>
        <w:t>De concrete doelstelling voor 20</w:t>
      </w:r>
      <w:r>
        <w:rPr>
          <w:sz w:val="18"/>
          <w:szCs w:val="18"/>
        </w:rPr>
        <w:t>20</w:t>
      </w:r>
      <w:r w:rsidRPr="000C0387">
        <w:rPr>
          <w:sz w:val="18"/>
          <w:szCs w:val="18"/>
        </w:rPr>
        <w:t xml:space="preserve"> </w:t>
      </w:r>
      <w:r>
        <w:rPr>
          <w:sz w:val="18"/>
          <w:szCs w:val="18"/>
        </w:rPr>
        <w:t>(efficiëntere bedrijfsvoering).</w:t>
      </w:r>
    </w:p>
    <w:p w14:paraId="322F6999" w14:textId="77777777" w:rsidR="00E9566B" w:rsidRDefault="00E9566B" w:rsidP="00E9566B">
      <w:pPr>
        <w:pStyle w:val="Lijst"/>
        <w:numPr>
          <w:ilvl w:val="0"/>
          <w:numId w:val="11"/>
        </w:numPr>
        <w:rPr>
          <w:sz w:val="18"/>
          <w:szCs w:val="18"/>
        </w:rPr>
      </w:pPr>
      <w:r>
        <w:rPr>
          <w:sz w:val="18"/>
          <w:szCs w:val="18"/>
        </w:rPr>
        <w:t>Scope 1: 5% ten opzichte van 2019</w:t>
      </w:r>
    </w:p>
    <w:p w14:paraId="5FF2D531" w14:textId="77777777" w:rsidR="00E9566B" w:rsidRDefault="00E9566B" w:rsidP="00A60CCF">
      <w:pPr>
        <w:pStyle w:val="Lijst"/>
        <w:numPr>
          <w:ilvl w:val="0"/>
          <w:numId w:val="11"/>
        </w:numPr>
        <w:rPr>
          <w:sz w:val="18"/>
          <w:szCs w:val="18"/>
        </w:rPr>
      </w:pPr>
      <w:r>
        <w:rPr>
          <w:sz w:val="18"/>
          <w:szCs w:val="18"/>
        </w:rPr>
        <w:t>Scope 2: 5% ten opzichte van 2019</w:t>
      </w:r>
    </w:p>
    <w:p w14:paraId="01E9A500" w14:textId="77777777" w:rsidR="00A60CCF" w:rsidRPr="00A60CCF" w:rsidRDefault="00A60CCF" w:rsidP="00A60CCF">
      <w:pPr>
        <w:pStyle w:val="Geenafstand"/>
      </w:pPr>
    </w:p>
    <w:p w14:paraId="7B6BAF90" w14:textId="77777777" w:rsidR="00E9566B" w:rsidRPr="00A60CCF" w:rsidRDefault="00E9566B" w:rsidP="00A60CCF">
      <w:pPr>
        <w:pStyle w:val="Kop1"/>
        <w:numPr>
          <w:ilvl w:val="0"/>
          <w:numId w:val="10"/>
        </w:numPr>
        <w:rPr>
          <w:rFonts w:asciiTheme="minorHAnsi" w:hAnsiTheme="minorHAnsi" w:cstheme="minorHAnsi"/>
          <w:color w:val="auto"/>
        </w:rPr>
      </w:pPr>
      <w:r w:rsidRPr="00A60CCF">
        <w:rPr>
          <w:rFonts w:asciiTheme="minorHAnsi" w:hAnsiTheme="minorHAnsi" w:cstheme="minorHAnsi"/>
          <w:color w:val="auto"/>
        </w:rPr>
        <w:t>Analyse van de voortgan</w:t>
      </w:r>
      <w:bookmarkEnd w:id="2"/>
      <w:bookmarkEnd w:id="3"/>
      <w:r w:rsidR="00A60CCF" w:rsidRPr="00A60CCF">
        <w:rPr>
          <w:rFonts w:asciiTheme="minorHAnsi" w:hAnsiTheme="minorHAnsi" w:cstheme="minorHAnsi"/>
          <w:color w:val="auto"/>
        </w:rPr>
        <w:t>g</w:t>
      </w:r>
    </w:p>
    <w:p w14:paraId="6D3B1ADA" w14:textId="77777777" w:rsidR="00E9566B" w:rsidRPr="00CC2EFA" w:rsidRDefault="00E9566B" w:rsidP="00A60CCF">
      <w:pPr>
        <w:pStyle w:val="Kop2"/>
        <w:numPr>
          <w:ilvl w:val="1"/>
          <w:numId w:val="14"/>
        </w:numPr>
        <w:rPr>
          <w:lang w:val="nl-NL"/>
        </w:rPr>
      </w:pPr>
      <w:bookmarkStart w:id="11" w:name="_Toc35288576"/>
      <w:r w:rsidRPr="00CC2EFA">
        <w:rPr>
          <w:lang w:val="nl-NL"/>
        </w:rPr>
        <w:t>Emissies en significant energieverbruik</w:t>
      </w:r>
      <w:bookmarkEnd w:id="11"/>
    </w:p>
    <w:p w14:paraId="0F821190" w14:textId="77777777" w:rsidR="00E9566B" w:rsidRPr="00FC3819" w:rsidRDefault="00E9566B" w:rsidP="00E9566B">
      <w:pPr>
        <w:pStyle w:val="Geenafstand1"/>
        <w:rPr>
          <w:sz w:val="18"/>
          <w:szCs w:val="18"/>
        </w:rPr>
      </w:pPr>
      <w:r w:rsidRPr="00FC3819">
        <w:rPr>
          <w:sz w:val="18"/>
          <w:szCs w:val="18"/>
        </w:rPr>
        <w:t>In 201</w:t>
      </w:r>
      <w:r>
        <w:rPr>
          <w:sz w:val="18"/>
          <w:szCs w:val="18"/>
        </w:rPr>
        <w:t>9</w:t>
      </w:r>
      <w:r w:rsidRPr="00FC3819">
        <w:rPr>
          <w:sz w:val="18"/>
          <w:szCs w:val="18"/>
        </w:rPr>
        <w:t xml:space="preserve"> bedroeg de totale CO2-footprint van </w:t>
      </w:r>
      <w:r>
        <w:rPr>
          <w:sz w:val="18"/>
          <w:szCs w:val="18"/>
        </w:rPr>
        <w:t>VVE</w:t>
      </w:r>
      <w:r w:rsidRPr="00FC3819">
        <w:rPr>
          <w:sz w:val="18"/>
          <w:szCs w:val="18"/>
        </w:rPr>
        <w:t xml:space="preserve"> </w:t>
      </w:r>
      <w:r>
        <w:rPr>
          <w:sz w:val="18"/>
          <w:szCs w:val="18"/>
        </w:rPr>
        <w:t>344</w:t>
      </w:r>
      <w:r w:rsidRPr="00FC3819">
        <w:rPr>
          <w:sz w:val="18"/>
          <w:szCs w:val="18"/>
        </w:rPr>
        <w:t xml:space="preserve"> ton CO2. </w:t>
      </w:r>
    </w:p>
    <w:p w14:paraId="0BE8783D" w14:textId="77777777" w:rsidR="00E9566B" w:rsidRPr="00FC3819" w:rsidRDefault="00E9566B" w:rsidP="00E9566B">
      <w:pPr>
        <w:pStyle w:val="Geenafstand1"/>
        <w:rPr>
          <w:sz w:val="18"/>
          <w:szCs w:val="18"/>
        </w:rPr>
      </w:pPr>
      <w:r w:rsidRPr="00FC3819">
        <w:rPr>
          <w:sz w:val="18"/>
          <w:szCs w:val="18"/>
        </w:rPr>
        <w:t>Uit de emissie inventaris blijkt dat de volgende energiestromen het meest significant zijn:</w:t>
      </w:r>
    </w:p>
    <w:p w14:paraId="7059751A" w14:textId="77777777" w:rsidR="00E9566B" w:rsidRDefault="00E9566B" w:rsidP="00E9566B">
      <w:pPr>
        <w:pStyle w:val="Geenafstand1"/>
        <w:numPr>
          <w:ilvl w:val="0"/>
          <w:numId w:val="4"/>
        </w:numPr>
        <w:rPr>
          <w:sz w:val="18"/>
          <w:szCs w:val="18"/>
        </w:rPr>
      </w:pPr>
      <w:r w:rsidRPr="00FC3819">
        <w:rPr>
          <w:sz w:val="18"/>
          <w:szCs w:val="18"/>
        </w:rPr>
        <w:t>Diesel</w:t>
      </w:r>
      <w:r>
        <w:rPr>
          <w:sz w:val="18"/>
          <w:szCs w:val="18"/>
        </w:rPr>
        <w:t xml:space="preserve"> wagenpark 39%</w:t>
      </w:r>
      <w:r w:rsidRPr="00EE6F4C">
        <w:rPr>
          <w:sz w:val="18"/>
          <w:szCs w:val="18"/>
        </w:rPr>
        <w:t xml:space="preserve"> </w:t>
      </w:r>
    </w:p>
    <w:p w14:paraId="32EE6872" w14:textId="77777777" w:rsidR="00E9566B" w:rsidRPr="009C7BCD" w:rsidRDefault="00E9566B" w:rsidP="00E9566B">
      <w:pPr>
        <w:pStyle w:val="Geenafstand1"/>
        <w:numPr>
          <w:ilvl w:val="0"/>
          <w:numId w:val="4"/>
        </w:numPr>
        <w:rPr>
          <w:sz w:val="18"/>
          <w:szCs w:val="18"/>
        </w:rPr>
      </w:pPr>
      <w:r>
        <w:rPr>
          <w:sz w:val="18"/>
          <w:szCs w:val="18"/>
        </w:rPr>
        <w:t>Gas bedrijfspanden 21%</w:t>
      </w:r>
    </w:p>
    <w:p w14:paraId="7F29BCF2" w14:textId="77777777" w:rsidR="00E9566B" w:rsidRDefault="00E9566B" w:rsidP="00E9566B">
      <w:pPr>
        <w:pStyle w:val="Geenafstand1"/>
        <w:numPr>
          <w:ilvl w:val="0"/>
          <w:numId w:val="4"/>
        </w:numPr>
        <w:rPr>
          <w:sz w:val="18"/>
          <w:szCs w:val="18"/>
        </w:rPr>
      </w:pPr>
      <w:r>
        <w:rPr>
          <w:sz w:val="18"/>
          <w:szCs w:val="18"/>
        </w:rPr>
        <w:t>Personenauto’s 20%</w:t>
      </w:r>
    </w:p>
    <w:p w14:paraId="7F428074" w14:textId="77777777" w:rsidR="00E9566B" w:rsidRDefault="00E9566B" w:rsidP="00E9566B">
      <w:pPr>
        <w:pStyle w:val="Geenafstand1"/>
        <w:numPr>
          <w:ilvl w:val="0"/>
          <w:numId w:val="4"/>
        </w:numPr>
        <w:rPr>
          <w:sz w:val="18"/>
          <w:szCs w:val="18"/>
        </w:rPr>
      </w:pPr>
      <w:r>
        <w:rPr>
          <w:sz w:val="18"/>
          <w:szCs w:val="18"/>
        </w:rPr>
        <w:t>Diesel materieel 12%</w:t>
      </w:r>
    </w:p>
    <w:p w14:paraId="3546DBC0" w14:textId="77777777" w:rsidR="00E9566B" w:rsidRDefault="00E9566B" w:rsidP="00E9566B">
      <w:pPr>
        <w:pStyle w:val="Geenafstand1"/>
        <w:numPr>
          <w:ilvl w:val="0"/>
          <w:numId w:val="4"/>
        </w:numPr>
        <w:rPr>
          <w:sz w:val="18"/>
          <w:szCs w:val="18"/>
        </w:rPr>
      </w:pPr>
      <w:r>
        <w:rPr>
          <w:sz w:val="18"/>
          <w:szCs w:val="18"/>
        </w:rPr>
        <w:t>Elektra bedrijfspanden 8%</w:t>
      </w:r>
    </w:p>
    <w:p w14:paraId="7A692718" w14:textId="77777777" w:rsidR="00E9566B" w:rsidRPr="00A60CCF" w:rsidRDefault="00E9566B" w:rsidP="00E9566B">
      <w:pPr>
        <w:pStyle w:val="Geenafstand1"/>
        <w:ind w:left="360"/>
        <w:rPr>
          <w:sz w:val="20"/>
          <w:szCs w:val="20"/>
        </w:rPr>
      </w:pPr>
    </w:p>
    <w:p w14:paraId="2F0DB576" w14:textId="77777777" w:rsidR="00A60CCF" w:rsidRDefault="00A60CCF" w:rsidP="00A60CCF">
      <w:pPr>
        <w:pStyle w:val="Kop2"/>
        <w:numPr>
          <w:ilvl w:val="1"/>
          <w:numId w:val="14"/>
        </w:numPr>
      </w:pPr>
      <w:r w:rsidRPr="00A60CCF">
        <w:rPr>
          <w:sz w:val="20"/>
          <w:szCs w:val="20"/>
        </w:rPr>
        <w:t xml:space="preserve">Projecten met gunningvoordeel </w:t>
      </w:r>
    </w:p>
    <w:p w14:paraId="3BF73F84" w14:textId="77777777" w:rsidR="00E9566B" w:rsidRPr="00A60CCF" w:rsidRDefault="00A60CCF" w:rsidP="00A60CCF">
      <w:pPr>
        <w:pStyle w:val="Geenafstand1"/>
        <w:rPr>
          <w:rFonts w:asciiTheme="minorHAnsi" w:hAnsiTheme="minorHAnsi" w:cstheme="minorHAnsi"/>
          <w:sz w:val="20"/>
          <w:szCs w:val="20"/>
        </w:rPr>
      </w:pPr>
      <w:r w:rsidRPr="00A60CCF">
        <w:rPr>
          <w:rFonts w:asciiTheme="minorHAnsi" w:hAnsiTheme="minorHAnsi" w:cstheme="minorHAnsi"/>
          <w:sz w:val="20"/>
          <w:szCs w:val="20"/>
        </w:rPr>
        <w:t>In 2018 zijn geen projecten met gunningsvoordeel aangenomen. Bij projecten met gunningsvoordeel zorgt de KAM</w:t>
      </w:r>
      <w:r>
        <w:rPr>
          <w:rFonts w:asciiTheme="minorHAnsi" w:hAnsiTheme="minorHAnsi" w:cstheme="minorHAnsi"/>
          <w:sz w:val="20"/>
          <w:szCs w:val="20"/>
        </w:rPr>
        <w:t>-</w:t>
      </w:r>
      <w:r w:rsidRPr="00A60CCF">
        <w:rPr>
          <w:rFonts w:asciiTheme="minorHAnsi" w:hAnsiTheme="minorHAnsi" w:cstheme="minorHAnsi"/>
          <w:sz w:val="20"/>
          <w:szCs w:val="20"/>
        </w:rPr>
        <w:t>coördinator voor opstellen van het plan van aanpak en aanstellen van verantwoordelijkheden.</w:t>
      </w:r>
    </w:p>
    <w:p w14:paraId="174C8804" w14:textId="77777777" w:rsidR="00E9566B" w:rsidRDefault="00E9566B" w:rsidP="00E9566B">
      <w:pPr>
        <w:pStyle w:val="Geenafstand1"/>
        <w:rPr>
          <w:sz w:val="18"/>
          <w:szCs w:val="18"/>
        </w:rPr>
      </w:pPr>
      <w:r w:rsidRPr="00791FBC">
        <w:rPr>
          <w:rFonts w:ascii="Arial" w:hAnsi="Arial" w:cs="Arial"/>
          <w:noProof/>
          <w:color w:val="FF0000"/>
          <w:sz w:val="20"/>
          <w:szCs w:val="20"/>
          <w:lang w:eastAsia="nl-NL"/>
        </w:rPr>
        <w:lastRenderedPageBreak/>
        <w:drawing>
          <wp:inline distT="0" distB="0" distL="0" distR="0" wp14:anchorId="1F1430D9" wp14:editId="64A2B1D2">
            <wp:extent cx="5705475" cy="2695575"/>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E0ACBDB" w14:textId="77777777" w:rsidR="00E9566B" w:rsidRDefault="00E9566B" w:rsidP="00E9566B">
      <w:pPr>
        <w:pStyle w:val="Geenafstand1"/>
        <w:rPr>
          <w:sz w:val="18"/>
          <w:szCs w:val="18"/>
        </w:rPr>
      </w:pPr>
    </w:p>
    <w:p w14:paraId="2F3B788F" w14:textId="77777777" w:rsidR="00E9566B" w:rsidRDefault="00E9566B" w:rsidP="00E9566B">
      <w:pPr>
        <w:pStyle w:val="Geenafstand1"/>
        <w:rPr>
          <w:sz w:val="18"/>
          <w:szCs w:val="18"/>
        </w:rPr>
      </w:pPr>
    </w:p>
    <w:p w14:paraId="178CE449" w14:textId="77777777" w:rsidR="00E9566B" w:rsidRDefault="00E9566B" w:rsidP="00A60CCF">
      <w:pPr>
        <w:pStyle w:val="Kop2"/>
        <w:numPr>
          <w:ilvl w:val="1"/>
          <w:numId w:val="14"/>
        </w:numPr>
        <w:rPr>
          <w:sz w:val="18"/>
          <w:szCs w:val="18"/>
        </w:rPr>
      </w:pPr>
      <w:r w:rsidRPr="00893566">
        <w:rPr>
          <w:sz w:val="18"/>
          <w:szCs w:val="18"/>
        </w:rPr>
        <w:t>Jaarverbruik</w:t>
      </w:r>
    </w:p>
    <w:tbl>
      <w:tblPr>
        <w:tblStyle w:val="Tabelraster"/>
        <w:tblW w:w="9068" w:type="dxa"/>
        <w:tblInd w:w="-5" w:type="dxa"/>
        <w:tblLook w:val="04A0" w:firstRow="1" w:lastRow="0" w:firstColumn="1" w:lastColumn="0" w:noHBand="0" w:noVBand="1"/>
      </w:tblPr>
      <w:tblGrid>
        <w:gridCol w:w="2127"/>
        <w:gridCol w:w="1417"/>
        <w:gridCol w:w="1366"/>
        <w:gridCol w:w="1327"/>
        <w:gridCol w:w="1418"/>
        <w:gridCol w:w="1413"/>
      </w:tblGrid>
      <w:tr w:rsidR="00E9566B" w:rsidRPr="00D607FC" w14:paraId="183A6671" w14:textId="77777777" w:rsidTr="00A60CCF">
        <w:trPr>
          <w:trHeight w:val="315"/>
        </w:trPr>
        <w:tc>
          <w:tcPr>
            <w:tcW w:w="2127" w:type="dxa"/>
            <w:noWrap/>
            <w:hideMark/>
          </w:tcPr>
          <w:p w14:paraId="131E924C" w14:textId="77777777" w:rsidR="00E9566B" w:rsidRPr="00D607FC" w:rsidRDefault="00E9566B" w:rsidP="00A60CCF">
            <w:pPr>
              <w:pStyle w:val="Geenafstand"/>
            </w:pPr>
          </w:p>
        </w:tc>
        <w:tc>
          <w:tcPr>
            <w:tcW w:w="1417" w:type="dxa"/>
            <w:noWrap/>
            <w:hideMark/>
          </w:tcPr>
          <w:p w14:paraId="16DF35EB" w14:textId="77777777" w:rsidR="00E9566B" w:rsidRPr="00D607FC" w:rsidRDefault="00E9566B" w:rsidP="00A60CCF">
            <w:pPr>
              <w:pStyle w:val="Geenafstand"/>
              <w:jc w:val="center"/>
              <w:rPr>
                <w:rFonts w:cs="Calibri"/>
                <w:b/>
                <w:bCs/>
                <w:color w:val="000000"/>
              </w:rPr>
            </w:pPr>
            <w:r w:rsidRPr="00D607FC">
              <w:rPr>
                <w:rFonts w:cs="Calibri"/>
                <w:b/>
                <w:bCs/>
                <w:color w:val="000000"/>
              </w:rPr>
              <w:t>H1 2019</w:t>
            </w:r>
          </w:p>
        </w:tc>
        <w:tc>
          <w:tcPr>
            <w:tcW w:w="1366" w:type="dxa"/>
            <w:noWrap/>
            <w:hideMark/>
          </w:tcPr>
          <w:p w14:paraId="0C2436B7" w14:textId="77777777" w:rsidR="00E9566B" w:rsidRPr="00D607FC" w:rsidRDefault="00E9566B" w:rsidP="00A60CCF">
            <w:pPr>
              <w:pStyle w:val="Geenafstand"/>
              <w:jc w:val="center"/>
              <w:rPr>
                <w:rFonts w:cs="Calibri"/>
                <w:b/>
                <w:bCs/>
                <w:color w:val="000000"/>
              </w:rPr>
            </w:pPr>
            <w:r w:rsidRPr="00D607FC">
              <w:rPr>
                <w:rFonts w:cs="Calibri"/>
                <w:b/>
                <w:bCs/>
                <w:color w:val="000000"/>
              </w:rPr>
              <w:t>H2 2019</w:t>
            </w:r>
          </w:p>
        </w:tc>
        <w:tc>
          <w:tcPr>
            <w:tcW w:w="1327" w:type="dxa"/>
            <w:noWrap/>
            <w:hideMark/>
          </w:tcPr>
          <w:p w14:paraId="6453C2C0" w14:textId="77777777" w:rsidR="00E9566B" w:rsidRPr="00D607FC" w:rsidRDefault="00E9566B" w:rsidP="00A60CCF">
            <w:pPr>
              <w:pStyle w:val="Geenafstand"/>
              <w:jc w:val="center"/>
              <w:rPr>
                <w:rFonts w:cs="Calibri"/>
                <w:b/>
                <w:bCs/>
                <w:color w:val="000000"/>
              </w:rPr>
            </w:pPr>
            <w:r w:rsidRPr="00D607FC">
              <w:rPr>
                <w:rFonts w:cs="Calibri"/>
                <w:b/>
                <w:bCs/>
                <w:color w:val="000000"/>
              </w:rPr>
              <w:t>TOTAAL 2019</w:t>
            </w:r>
          </w:p>
        </w:tc>
        <w:tc>
          <w:tcPr>
            <w:tcW w:w="1418" w:type="dxa"/>
            <w:noWrap/>
            <w:hideMark/>
          </w:tcPr>
          <w:p w14:paraId="7C632965" w14:textId="77777777" w:rsidR="00E9566B" w:rsidRPr="00D607FC" w:rsidRDefault="00E9566B" w:rsidP="00A60CCF">
            <w:pPr>
              <w:pStyle w:val="Geenafstand"/>
              <w:jc w:val="center"/>
              <w:rPr>
                <w:rFonts w:cs="Calibri"/>
                <w:b/>
                <w:bCs/>
                <w:color w:val="000000"/>
              </w:rPr>
            </w:pPr>
            <w:r w:rsidRPr="00D607FC">
              <w:rPr>
                <w:rFonts w:cs="Calibri"/>
                <w:b/>
                <w:bCs/>
                <w:color w:val="000000"/>
              </w:rPr>
              <w:t>TOTAAL 2018</w:t>
            </w:r>
          </w:p>
        </w:tc>
        <w:tc>
          <w:tcPr>
            <w:tcW w:w="1413" w:type="dxa"/>
            <w:noWrap/>
            <w:hideMark/>
          </w:tcPr>
          <w:p w14:paraId="03380C3E" w14:textId="77777777" w:rsidR="00E9566B" w:rsidRPr="00D607FC" w:rsidRDefault="00E9566B" w:rsidP="00A60CCF">
            <w:pPr>
              <w:pStyle w:val="Geenafstand"/>
              <w:jc w:val="center"/>
              <w:rPr>
                <w:rFonts w:cs="Calibri"/>
                <w:b/>
                <w:bCs/>
                <w:color w:val="000000"/>
              </w:rPr>
            </w:pPr>
            <w:r w:rsidRPr="00D607FC">
              <w:rPr>
                <w:rFonts w:cs="Calibri"/>
                <w:b/>
                <w:bCs/>
                <w:color w:val="000000"/>
              </w:rPr>
              <w:t>TOTAAL 2017</w:t>
            </w:r>
          </w:p>
        </w:tc>
      </w:tr>
      <w:tr w:rsidR="00E9566B" w:rsidRPr="00D607FC" w14:paraId="574BECEB" w14:textId="77777777" w:rsidTr="00A60CCF">
        <w:trPr>
          <w:trHeight w:val="315"/>
        </w:trPr>
        <w:tc>
          <w:tcPr>
            <w:tcW w:w="2127" w:type="dxa"/>
            <w:noWrap/>
            <w:hideMark/>
          </w:tcPr>
          <w:p w14:paraId="1378AE36" w14:textId="77777777" w:rsidR="00E9566B" w:rsidRPr="00D607FC" w:rsidRDefault="00E9566B" w:rsidP="00A60CCF">
            <w:pPr>
              <w:pStyle w:val="Geenafstand"/>
              <w:rPr>
                <w:rFonts w:cs="Calibri"/>
                <w:b/>
                <w:bCs/>
                <w:color w:val="000000"/>
              </w:rPr>
            </w:pPr>
            <w:r w:rsidRPr="00D607FC">
              <w:rPr>
                <w:rFonts w:cs="Calibri"/>
                <w:b/>
                <w:bCs/>
                <w:color w:val="000000"/>
              </w:rPr>
              <w:t>Totaal/jaar</w:t>
            </w:r>
          </w:p>
        </w:tc>
        <w:tc>
          <w:tcPr>
            <w:tcW w:w="1417" w:type="dxa"/>
            <w:noWrap/>
            <w:hideMark/>
          </w:tcPr>
          <w:p w14:paraId="17BFF7BB" w14:textId="77777777" w:rsidR="00E9566B" w:rsidRPr="00D607FC" w:rsidRDefault="00E9566B" w:rsidP="00A60CCF">
            <w:pPr>
              <w:pStyle w:val="Geenafstand"/>
              <w:jc w:val="center"/>
              <w:rPr>
                <w:rFonts w:cs="Calibri"/>
                <w:color w:val="000000"/>
              </w:rPr>
            </w:pPr>
            <w:r w:rsidRPr="00D607FC">
              <w:rPr>
                <w:rFonts w:cs="Calibri"/>
                <w:color w:val="000000"/>
              </w:rPr>
              <w:t>170</w:t>
            </w:r>
          </w:p>
        </w:tc>
        <w:tc>
          <w:tcPr>
            <w:tcW w:w="1366" w:type="dxa"/>
            <w:noWrap/>
            <w:hideMark/>
          </w:tcPr>
          <w:p w14:paraId="3A8F778F" w14:textId="77777777" w:rsidR="00E9566B" w:rsidRPr="00D607FC" w:rsidRDefault="00E9566B" w:rsidP="00A60CCF">
            <w:pPr>
              <w:pStyle w:val="Geenafstand"/>
              <w:jc w:val="center"/>
              <w:rPr>
                <w:rFonts w:cs="Calibri"/>
                <w:color w:val="000000"/>
              </w:rPr>
            </w:pPr>
            <w:r w:rsidRPr="00D607FC">
              <w:rPr>
                <w:rFonts w:cs="Calibri"/>
                <w:color w:val="000000"/>
              </w:rPr>
              <w:t>174</w:t>
            </w:r>
          </w:p>
        </w:tc>
        <w:tc>
          <w:tcPr>
            <w:tcW w:w="1327" w:type="dxa"/>
            <w:noWrap/>
            <w:hideMark/>
          </w:tcPr>
          <w:p w14:paraId="2CEA6C63" w14:textId="77777777" w:rsidR="00E9566B" w:rsidRPr="00D607FC" w:rsidRDefault="00E9566B" w:rsidP="00A60CCF">
            <w:pPr>
              <w:pStyle w:val="Geenafstand"/>
              <w:jc w:val="center"/>
              <w:rPr>
                <w:rFonts w:cs="Calibri"/>
                <w:color w:val="000000"/>
              </w:rPr>
            </w:pPr>
            <w:r w:rsidRPr="00D607FC">
              <w:rPr>
                <w:rFonts w:cs="Calibri"/>
                <w:color w:val="000000"/>
              </w:rPr>
              <w:t>344</w:t>
            </w:r>
          </w:p>
        </w:tc>
        <w:tc>
          <w:tcPr>
            <w:tcW w:w="1418" w:type="dxa"/>
            <w:noWrap/>
            <w:hideMark/>
          </w:tcPr>
          <w:p w14:paraId="384CD7B9" w14:textId="77777777" w:rsidR="00E9566B" w:rsidRPr="00D607FC" w:rsidRDefault="00E9566B" w:rsidP="00A60CCF">
            <w:pPr>
              <w:pStyle w:val="Geenafstand"/>
              <w:jc w:val="center"/>
              <w:rPr>
                <w:rFonts w:cs="Calibri"/>
                <w:color w:val="000000"/>
              </w:rPr>
            </w:pPr>
            <w:r w:rsidRPr="00D607FC">
              <w:rPr>
                <w:rFonts w:cs="Calibri"/>
                <w:color w:val="000000"/>
              </w:rPr>
              <w:t>333</w:t>
            </w:r>
          </w:p>
        </w:tc>
        <w:tc>
          <w:tcPr>
            <w:tcW w:w="1413" w:type="dxa"/>
            <w:noWrap/>
            <w:hideMark/>
          </w:tcPr>
          <w:p w14:paraId="76FCB22A" w14:textId="77777777" w:rsidR="00E9566B" w:rsidRPr="00D607FC" w:rsidRDefault="00E9566B" w:rsidP="00A60CCF">
            <w:pPr>
              <w:pStyle w:val="Geenafstand"/>
              <w:jc w:val="center"/>
              <w:rPr>
                <w:rFonts w:cs="Calibri"/>
                <w:color w:val="000000"/>
              </w:rPr>
            </w:pPr>
            <w:r w:rsidRPr="00D607FC">
              <w:rPr>
                <w:rFonts w:cs="Calibri"/>
                <w:color w:val="000000"/>
              </w:rPr>
              <w:t>404</w:t>
            </w:r>
          </w:p>
        </w:tc>
      </w:tr>
      <w:tr w:rsidR="00E9566B" w:rsidRPr="00D607FC" w14:paraId="230758E1" w14:textId="77777777" w:rsidTr="00A60CCF">
        <w:trPr>
          <w:trHeight w:val="315"/>
        </w:trPr>
        <w:tc>
          <w:tcPr>
            <w:tcW w:w="2127" w:type="dxa"/>
            <w:noWrap/>
            <w:hideMark/>
          </w:tcPr>
          <w:p w14:paraId="16CCD05C" w14:textId="77777777" w:rsidR="00E9566B" w:rsidRPr="00D607FC" w:rsidRDefault="00E9566B" w:rsidP="00A60CCF">
            <w:pPr>
              <w:pStyle w:val="Geenafstand"/>
              <w:rPr>
                <w:rFonts w:cs="Calibri"/>
                <w:b/>
                <w:bCs/>
                <w:color w:val="000000"/>
              </w:rPr>
            </w:pPr>
            <w:r w:rsidRPr="00D607FC">
              <w:rPr>
                <w:rFonts w:cs="Calibri"/>
                <w:b/>
                <w:bCs/>
                <w:color w:val="000000"/>
              </w:rPr>
              <w:t>Omzet</w:t>
            </w:r>
          </w:p>
        </w:tc>
        <w:tc>
          <w:tcPr>
            <w:tcW w:w="1417" w:type="dxa"/>
            <w:noWrap/>
            <w:hideMark/>
          </w:tcPr>
          <w:p w14:paraId="4A621CDB" w14:textId="77777777" w:rsidR="00E9566B" w:rsidRPr="00D607FC" w:rsidRDefault="00E9566B" w:rsidP="00A60CCF">
            <w:pPr>
              <w:pStyle w:val="Geenafstand"/>
              <w:jc w:val="center"/>
              <w:rPr>
                <w:rFonts w:cs="Calibri"/>
                <w:color w:val="000000"/>
              </w:rPr>
            </w:pPr>
            <w:r w:rsidRPr="00D607FC">
              <w:rPr>
                <w:rFonts w:cs="Calibri"/>
                <w:color w:val="000000"/>
              </w:rPr>
              <w:t>4.600.000</w:t>
            </w:r>
          </w:p>
        </w:tc>
        <w:tc>
          <w:tcPr>
            <w:tcW w:w="1366" w:type="dxa"/>
            <w:noWrap/>
            <w:hideMark/>
          </w:tcPr>
          <w:p w14:paraId="30F9E9AE" w14:textId="77777777" w:rsidR="00E9566B" w:rsidRPr="00D607FC" w:rsidRDefault="00E9566B" w:rsidP="00A60CCF">
            <w:pPr>
              <w:pStyle w:val="Geenafstand"/>
              <w:jc w:val="center"/>
              <w:rPr>
                <w:rFonts w:cs="Calibri"/>
                <w:color w:val="000000"/>
              </w:rPr>
            </w:pPr>
            <w:r w:rsidRPr="00D607FC">
              <w:rPr>
                <w:rFonts w:cs="Calibri"/>
                <w:color w:val="000000"/>
              </w:rPr>
              <w:t>4.600.000</w:t>
            </w:r>
          </w:p>
        </w:tc>
        <w:tc>
          <w:tcPr>
            <w:tcW w:w="1327" w:type="dxa"/>
            <w:noWrap/>
            <w:hideMark/>
          </w:tcPr>
          <w:p w14:paraId="7E86962B" w14:textId="77777777" w:rsidR="00E9566B" w:rsidRPr="00D607FC" w:rsidRDefault="00E9566B" w:rsidP="00A60CCF">
            <w:pPr>
              <w:pStyle w:val="Geenafstand"/>
              <w:jc w:val="center"/>
              <w:rPr>
                <w:rFonts w:cs="Calibri"/>
                <w:color w:val="000000"/>
              </w:rPr>
            </w:pPr>
            <w:r w:rsidRPr="00D607FC">
              <w:rPr>
                <w:rFonts w:cs="Calibri"/>
                <w:color w:val="000000"/>
              </w:rPr>
              <w:t>9.200.000</w:t>
            </w:r>
          </w:p>
        </w:tc>
        <w:tc>
          <w:tcPr>
            <w:tcW w:w="1418" w:type="dxa"/>
            <w:noWrap/>
            <w:hideMark/>
          </w:tcPr>
          <w:p w14:paraId="0C3BE749" w14:textId="77777777" w:rsidR="00E9566B" w:rsidRPr="00D607FC" w:rsidRDefault="00E9566B" w:rsidP="00A60CCF">
            <w:pPr>
              <w:pStyle w:val="Geenafstand"/>
              <w:jc w:val="center"/>
              <w:rPr>
                <w:rFonts w:cs="Calibri"/>
                <w:color w:val="000000"/>
              </w:rPr>
            </w:pPr>
            <w:r w:rsidRPr="00D607FC">
              <w:rPr>
                <w:rFonts w:cs="Calibri"/>
                <w:color w:val="000000"/>
              </w:rPr>
              <w:t>7.300.000</w:t>
            </w:r>
          </w:p>
        </w:tc>
        <w:tc>
          <w:tcPr>
            <w:tcW w:w="1413" w:type="dxa"/>
            <w:noWrap/>
            <w:hideMark/>
          </w:tcPr>
          <w:p w14:paraId="71249224" w14:textId="77777777" w:rsidR="00E9566B" w:rsidRPr="00D607FC" w:rsidRDefault="00E9566B" w:rsidP="00A60CCF">
            <w:pPr>
              <w:pStyle w:val="Geenafstand"/>
              <w:jc w:val="center"/>
              <w:rPr>
                <w:rFonts w:cs="Calibri"/>
                <w:color w:val="000000"/>
              </w:rPr>
            </w:pPr>
            <w:r w:rsidRPr="00D607FC">
              <w:rPr>
                <w:rFonts w:cs="Calibri"/>
                <w:color w:val="000000"/>
              </w:rPr>
              <w:t>7.000.000</w:t>
            </w:r>
          </w:p>
        </w:tc>
      </w:tr>
      <w:tr w:rsidR="00E9566B" w:rsidRPr="00D607FC" w14:paraId="16228D53" w14:textId="77777777" w:rsidTr="00A60CCF">
        <w:trPr>
          <w:trHeight w:val="315"/>
        </w:trPr>
        <w:tc>
          <w:tcPr>
            <w:tcW w:w="2127" w:type="dxa"/>
            <w:noWrap/>
            <w:hideMark/>
          </w:tcPr>
          <w:p w14:paraId="6BE9757F" w14:textId="77777777" w:rsidR="00E9566B" w:rsidRPr="00D607FC" w:rsidRDefault="00E9566B" w:rsidP="00A60CCF">
            <w:pPr>
              <w:pStyle w:val="Geenafstand"/>
              <w:rPr>
                <w:rFonts w:cs="Calibri"/>
                <w:b/>
                <w:bCs/>
                <w:color w:val="000000"/>
              </w:rPr>
            </w:pPr>
            <w:r w:rsidRPr="00D607FC">
              <w:rPr>
                <w:rFonts w:cs="Calibri"/>
                <w:b/>
                <w:bCs/>
                <w:color w:val="000000"/>
              </w:rPr>
              <w:t>g/€ omzet</w:t>
            </w:r>
          </w:p>
        </w:tc>
        <w:tc>
          <w:tcPr>
            <w:tcW w:w="1417" w:type="dxa"/>
            <w:noWrap/>
            <w:hideMark/>
          </w:tcPr>
          <w:p w14:paraId="764D6718" w14:textId="77777777" w:rsidR="00E9566B" w:rsidRPr="00D607FC" w:rsidRDefault="00E9566B" w:rsidP="00A60CCF">
            <w:pPr>
              <w:pStyle w:val="Geenafstand"/>
              <w:jc w:val="center"/>
              <w:rPr>
                <w:rFonts w:cs="Calibri"/>
                <w:color w:val="000000"/>
              </w:rPr>
            </w:pPr>
            <w:r w:rsidRPr="00D607FC">
              <w:rPr>
                <w:rFonts w:cs="Calibri"/>
                <w:color w:val="000000"/>
              </w:rPr>
              <w:t>0,37</w:t>
            </w:r>
          </w:p>
        </w:tc>
        <w:tc>
          <w:tcPr>
            <w:tcW w:w="1366" w:type="dxa"/>
            <w:noWrap/>
            <w:hideMark/>
          </w:tcPr>
          <w:p w14:paraId="1278FB88" w14:textId="77777777" w:rsidR="00E9566B" w:rsidRPr="00D607FC" w:rsidRDefault="00E9566B" w:rsidP="00A60CCF">
            <w:pPr>
              <w:pStyle w:val="Geenafstand"/>
              <w:jc w:val="center"/>
              <w:rPr>
                <w:rFonts w:cs="Calibri"/>
                <w:color w:val="000000"/>
              </w:rPr>
            </w:pPr>
            <w:r w:rsidRPr="00D607FC">
              <w:rPr>
                <w:rFonts w:cs="Calibri"/>
                <w:color w:val="000000"/>
              </w:rPr>
              <w:t>0,38</w:t>
            </w:r>
          </w:p>
        </w:tc>
        <w:tc>
          <w:tcPr>
            <w:tcW w:w="1327" w:type="dxa"/>
            <w:noWrap/>
            <w:hideMark/>
          </w:tcPr>
          <w:p w14:paraId="465654F7" w14:textId="77777777" w:rsidR="00E9566B" w:rsidRPr="00D607FC" w:rsidRDefault="00E9566B" w:rsidP="00A60CCF">
            <w:pPr>
              <w:pStyle w:val="Geenafstand"/>
              <w:jc w:val="center"/>
              <w:rPr>
                <w:rFonts w:cs="Calibri"/>
                <w:color w:val="000000"/>
              </w:rPr>
            </w:pPr>
            <w:r w:rsidRPr="00D607FC">
              <w:rPr>
                <w:rFonts w:cs="Calibri"/>
                <w:color w:val="000000"/>
              </w:rPr>
              <w:t>0,37</w:t>
            </w:r>
          </w:p>
        </w:tc>
        <w:tc>
          <w:tcPr>
            <w:tcW w:w="1418" w:type="dxa"/>
            <w:noWrap/>
            <w:hideMark/>
          </w:tcPr>
          <w:p w14:paraId="79066949" w14:textId="77777777" w:rsidR="00E9566B" w:rsidRPr="00D607FC" w:rsidRDefault="00E9566B" w:rsidP="00A60CCF">
            <w:pPr>
              <w:pStyle w:val="Geenafstand"/>
              <w:jc w:val="center"/>
              <w:rPr>
                <w:rFonts w:cs="Calibri"/>
                <w:color w:val="000000"/>
              </w:rPr>
            </w:pPr>
            <w:r w:rsidRPr="00D607FC">
              <w:rPr>
                <w:rFonts w:cs="Calibri"/>
                <w:color w:val="000000"/>
              </w:rPr>
              <w:t>0,46</w:t>
            </w:r>
          </w:p>
        </w:tc>
        <w:tc>
          <w:tcPr>
            <w:tcW w:w="1413" w:type="dxa"/>
            <w:noWrap/>
            <w:hideMark/>
          </w:tcPr>
          <w:p w14:paraId="06020265" w14:textId="77777777" w:rsidR="00E9566B" w:rsidRPr="00D607FC" w:rsidRDefault="00E9566B" w:rsidP="00A60CCF">
            <w:pPr>
              <w:pStyle w:val="Geenafstand"/>
              <w:jc w:val="center"/>
              <w:rPr>
                <w:rFonts w:cs="Calibri"/>
                <w:color w:val="000000"/>
              </w:rPr>
            </w:pPr>
            <w:r w:rsidRPr="00D607FC">
              <w:rPr>
                <w:rFonts w:cs="Calibri"/>
                <w:color w:val="000000"/>
              </w:rPr>
              <w:t>0,58</w:t>
            </w:r>
          </w:p>
        </w:tc>
      </w:tr>
      <w:tr w:rsidR="00E9566B" w:rsidRPr="00D607FC" w14:paraId="296F9ADB" w14:textId="77777777" w:rsidTr="00A60CCF">
        <w:trPr>
          <w:trHeight w:val="315"/>
        </w:trPr>
        <w:tc>
          <w:tcPr>
            <w:tcW w:w="2127" w:type="dxa"/>
            <w:noWrap/>
            <w:hideMark/>
          </w:tcPr>
          <w:p w14:paraId="46945835" w14:textId="77777777" w:rsidR="00E9566B" w:rsidRPr="00D607FC" w:rsidRDefault="00E9566B" w:rsidP="00A60CCF">
            <w:pPr>
              <w:pStyle w:val="Geenafstand"/>
              <w:rPr>
                <w:rFonts w:cs="Calibri"/>
                <w:b/>
                <w:bCs/>
                <w:color w:val="000000"/>
              </w:rPr>
            </w:pPr>
            <w:r w:rsidRPr="00D607FC">
              <w:rPr>
                <w:rFonts w:cs="Calibri"/>
                <w:b/>
                <w:bCs/>
                <w:color w:val="000000"/>
              </w:rPr>
              <w:t>manuren</w:t>
            </w:r>
          </w:p>
        </w:tc>
        <w:tc>
          <w:tcPr>
            <w:tcW w:w="1417" w:type="dxa"/>
            <w:noWrap/>
            <w:hideMark/>
          </w:tcPr>
          <w:p w14:paraId="4408C5CA" w14:textId="77777777" w:rsidR="00E9566B" w:rsidRPr="00D607FC" w:rsidRDefault="00E9566B" w:rsidP="00A60CCF">
            <w:pPr>
              <w:pStyle w:val="Geenafstand"/>
              <w:jc w:val="center"/>
              <w:rPr>
                <w:rFonts w:cs="Calibri"/>
                <w:color w:val="000000"/>
              </w:rPr>
            </w:pPr>
            <w:r w:rsidRPr="00D607FC">
              <w:rPr>
                <w:rFonts w:cs="Calibri"/>
                <w:color w:val="000000"/>
              </w:rPr>
              <w:t>62.300</w:t>
            </w:r>
          </w:p>
        </w:tc>
        <w:tc>
          <w:tcPr>
            <w:tcW w:w="1366" w:type="dxa"/>
            <w:noWrap/>
            <w:hideMark/>
          </w:tcPr>
          <w:p w14:paraId="1F98BCBD" w14:textId="77777777" w:rsidR="00E9566B" w:rsidRPr="00D607FC" w:rsidRDefault="00E9566B" w:rsidP="00A60CCF">
            <w:pPr>
              <w:pStyle w:val="Geenafstand"/>
              <w:jc w:val="center"/>
              <w:rPr>
                <w:rFonts w:cs="Calibri"/>
                <w:color w:val="000000"/>
              </w:rPr>
            </w:pPr>
            <w:r w:rsidRPr="00D607FC">
              <w:rPr>
                <w:rFonts w:cs="Calibri"/>
                <w:color w:val="000000"/>
              </w:rPr>
              <w:t>62.300</w:t>
            </w:r>
          </w:p>
        </w:tc>
        <w:tc>
          <w:tcPr>
            <w:tcW w:w="1327" w:type="dxa"/>
            <w:noWrap/>
            <w:hideMark/>
          </w:tcPr>
          <w:p w14:paraId="418D56C8" w14:textId="77777777" w:rsidR="00E9566B" w:rsidRPr="00D607FC" w:rsidRDefault="00E9566B" w:rsidP="00A60CCF">
            <w:pPr>
              <w:pStyle w:val="Geenafstand"/>
              <w:jc w:val="center"/>
              <w:rPr>
                <w:rFonts w:cs="Calibri"/>
                <w:color w:val="000000"/>
              </w:rPr>
            </w:pPr>
            <w:r w:rsidRPr="00D607FC">
              <w:rPr>
                <w:rFonts w:cs="Calibri"/>
                <w:color w:val="000000"/>
              </w:rPr>
              <w:t>124.600</w:t>
            </w:r>
          </w:p>
        </w:tc>
        <w:tc>
          <w:tcPr>
            <w:tcW w:w="1418" w:type="dxa"/>
            <w:noWrap/>
            <w:hideMark/>
          </w:tcPr>
          <w:p w14:paraId="6647125E" w14:textId="77777777" w:rsidR="00E9566B" w:rsidRPr="00D607FC" w:rsidRDefault="00E9566B" w:rsidP="00A60CCF">
            <w:pPr>
              <w:pStyle w:val="Geenafstand"/>
              <w:jc w:val="center"/>
              <w:rPr>
                <w:rFonts w:cs="Calibri"/>
                <w:color w:val="000000"/>
              </w:rPr>
            </w:pPr>
            <w:r w:rsidRPr="00D607FC">
              <w:rPr>
                <w:rFonts w:cs="Calibri"/>
                <w:color w:val="000000"/>
              </w:rPr>
              <w:t>115.700</w:t>
            </w:r>
          </w:p>
        </w:tc>
        <w:tc>
          <w:tcPr>
            <w:tcW w:w="1413" w:type="dxa"/>
            <w:noWrap/>
            <w:hideMark/>
          </w:tcPr>
          <w:p w14:paraId="4F988693" w14:textId="77777777" w:rsidR="00E9566B" w:rsidRPr="00D607FC" w:rsidRDefault="00E9566B" w:rsidP="00A60CCF">
            <w:pPr>
              <w:pStyle w:val="Geenafstand"/>
              <w:jc w:val="center"/>
              <w:rPr>
                <w:rFonts w:cs="Calibri"/>
                <w:color w:val="000000"/>
              </w:rPr>
            </w:pPr>
            <w:r w:rsidRPr="00D607FC">
              <w:rPr>
                <w:rFonts w:cs="Calibri"/>
                <w:color w:val="000000"/>
              </w:rPr>
              <w:t>115.700</w:t>
            </w:r>
          </w:p>
        </w:tc>
      </w:tr>
      <w:tr w:rsidR="00E9566B" w:rsidRPr="00D607FC" w14:paraId="2CC8C293" w14:textId="77777777" w:rsidTr="00A60CCF">
        <w:trPr>
          <w:trHeight w:val="315"/>
        </w:trPr>
        <w:tc>
          <w:tcPr>
            <w:tcW w:w="2127" w:type="dxa"/>
            <w:noWrap/>
            <w:hideMark/>
          </w:tcPr>
          <w:p w14:paraId="39949B27" w14:textId="77777777" w:rsidR="00E9566B" w:rsidRPr="00D607FC" w:rsidRDefault="00E9566B" w:rsidP="00A60CCF">
            <w:pPr>
              <w:pStyle w:val="Geenafstand"/>
              <w:rPr>
                <w:rFonts w:cs="Calibri"/>
                <w:b/>
                <w:bCs/>
                <w:color w:val="000000"/>
              </w:rPr>
            </w:pPr>
            <w:r w:rsidRPr="00D607FC">
              <w:rPr>
                <w:rFonts w:cs="Calibri"/>
                <w:b/>
                <w:bCs/>
                <w:color w:val="000000"/>
              </w:rPr>
              <w:t>g/uren</w:t>
            </w:r>
          </w:p>
        </w:tc>
        <w:tc>
          <w:tcPr>
            <w:tcW w:w="1417" w:type="dxa"/>
            <w:noWrap/>
            <w:hideMark/>
          </w:tcPr>
          <w:p w14:paraId="1510E79C" w14:textId="77777777" w:rsidR="00E9566B" w:rsidRPr="00D607FC" w:rsidRDefault="00E9566B" w:rsidP="00A60CCF">
            <w:pPr>
              <w:pStyle w:val="Geenafstand"/>
              <w:jc w:val="center"/>
              <w:rPr>
                <w:rFonts w:cs="Calibri"/>
                <w:color w:val="000000"/>
              </w:rPr>
            </w:pPr>
            <w:r w:rsidRPr="00D607FC">
              <w:rPr>
                <w:rFonts w:cs="Calibri"/>
                <w:color w:val="000000"/>
              </w:rPr>
              <w:t>27,27</w:t>
            </w:r>
          </w:p>
        </w:tc>
        <w:tc>
          <w:tcPr>
            <w:tcW w:w="1366" w:type="dxa"/>
            <w:noWrap/>
            <w:hideMark/>
          </w:tcPr>
          <w:p w14:paraId="4492073D" w14:textId="77777777" w:rsidR="00E9566B" w:rsidRPr="00D607FC" w:rsidRDefault="00E9566B" w:rsidP="00A60CCF">
            <w:pPr>
              <w:pStyle w:val="Geenafstand"/>
              <w:jc w:val="center"/>
              <w:rPr>
                <w:rFonts w:cs="Calibri"/>
                <w:color w:val="000000"/>
              </w:rPr>
            </w:pPr>
            <w:r w:rsidRPr="00D607FC">
              <w:rPr>
                <w:rFonts w:cs="Calibri"/>
                <w:color w:val="000000"/>
              </w:rPr>
              <w:t>27,89</w:t>
            </w:r>
          </w:p>
        </w:tc>
        <w:tc>
          <w:tcPr>
            <w:tcW w:w="1327" w:type="dxa"/>
            <w:noWrap/>
            <w:hideMark/>
          </w:tcPr>
          <w:p w14:paraId="312C9883" w14:textId="77777777" w:rsidR="00E9566B" w:rsidRPr="00D607FC" w:rsidRDefault="00E9566B" w:rsidP="00A60CCF">
            <w:pPr>
              <w:pStyle w:val="Geenafstand"/>
              <w:jc w:val="center"/>
              <w:rPr>
                <w:rFonts w:cs="Calibri"/>
                <w:color w:val="000000"/>
              </w:rPr>
            </w:pPr>
            <w:r w:rsidRPr="00D607FC">
              <w:rPr>
                <w:rFonts w:cs="Calibri"/>
                <w:color w:val="000000"/>
              </w:rPr>
              <w:t>27,58</w:t>
            </w:r>
          </w:p>
        </w:tc>
        <w:tc>
          <w:tcPr>
            <w:tcW w:w="1418" w:type="dxa"/>
            <w:noWrap/>
            <w:hideMark/>
          </w:tcPr>
          <w:p w14:paraId="16E39BE7" w14:textId="77777777" w:rsidR="00E9566B" w:rsidRPr="00D607FC" w:rsidRDefault="00E9566B" w:rsidP="00A60CCF">
            <w:pPr>
              <w:pStyle w:val="Geenafstand"/>
              <w:jc w:val="center"/>
              <w:rPr>
                <w:rFonts w:cs="Calibri"/>
                <w:color w:val="000000"/>
              </w:rPr>
            </w:pPr>
            <w:r w:rsidRPr="00D607FC">
              <w:rPr>
                <w:rFonts w:cs="Calibri"/>
                <w:color w:val="000000"/>
              </w:rPr>
              <w:t>28,78</w:t>
            </w:r>
          </w:p>
        </w:tc>
        <w:tc>
          <w:tcPr>
            <w:tcW w:w="1413" w:type="dxa"/>
            <w:noWrap/>
            <w:hideMark/>
          </w:tcPr>
          <w:p w14:paraId="34E0BD3E" w14:textId="77777777" w:rsidR="00E9566B" w:rsidRPr="00D607FC" w:rsidRDefault="00E9566B" w:rsidP="00A60CCF">
            <w:pPr>
              <w:pStyle w:val="Geenafstand"/>
              <w:jc w:val="center"/>
              <w:rPr>
                <w:rFonts w:cs="Calibri"/>
                <w:color w:val="000000"/>
              </w:rPr>
            </w:pPr>
            <w:r w:rsidRPr="00D607FC">
              <w:rPr>
                <w:rFonts w:cs="Calibri"/>
                <w:color w:val="000000"/>
              </w:rPr>
              <w:t>34,92</w:t>
            </w:r>
          </w:p>
        </w:tc>
      </w:tr>
      <w:tr w:rsidR="00E9566B" w:rsidRPr="00D607FC" w14:paraId="5877741B" w14:textId="77777777" w:rsidTr="00A60CCF">
        <w:trPr>
          <w:trHeight w:val="315"/>
        </w:trPr>
        <w:tc>
          <w:tcPr>
            <w:tcW w:w="2127" w:type="dxa"/>
            <w:noWrap/>
            <w:hideMark/>
          </w:tcPr>
          <w:p w14:paraId="2CDD4D15" w14:textId="77777777" w:rsidR="00E9566B" w:rsidRPr="00D607FC" w:rsidRDefault="00E9566B" w:rsidP="00A60CCF">
            <w:pPr>
              <w:pStyle w:val="Geenafstand"/>
              <w:rPr>
                <w:rFonts w:cs="Calibri"/>
                <w:b/>
                <w:bCs/>
                <w:color w:val="000000"/>
              </w:rPr>
            </w:pPr>
            <w:r w:rsidRPr="00D607FC">
              <w:rPr>
                <w:rFonts w:cs="Calibri"/>
                <w:b/>
                <w:bCs/>
                <w:color w:val="000000"/>
              </w:rPr>
              <w:t>Scope 1</w:t>
            </w:r>
          </w:p>
        </w:tc>
        <w:tc>
          <w:tcPr>
            <w:tcW w:w="1417" w:type="dxa"/>
            <w:noWrap/>
            <w:hideMark/>
          </w:tcPr>
          <w:p w14:paraId="40E2E3A3" w14:textId="77777777" w:rsidR="00E9566B" w:rsidRPr="00D607FC" w:rsidRDefault="00E9566B" w:rsidP="00A60CCF">
            <w:pPr>
              <w:pStyle w:val="Geenafstand"/>
              <w:jc w:val="center"/>
              <w:rPr>
                <w:rFonts w:cs="Calibri"/>
                <w:color w:val="000000"/>
              </w:rPr>
            </w:pPr>
            <w:r w:rsidRPr="00D607FC">
              <w:rPr>
                <w:rFonts w:cs="Calibri"/>
                <w:color w:val="000000"/>
              </w:rPr>
              <w:t>149,97</w:t>
            </w:r>
          </w:p>
        </w:tc>
        <w:tc>
          <w:tcPr>
            <w:tcW w:w="1366" w:type="dxa"/>
            <w:noWrap/>
            <w:hideMark/>
          </w:tcPr>
          <w:p w14:paraId="5B43C938" w14:textId="77777777" w:rsidR="00E9566B" w:rsidRPr="00D607FC" w:rsidRDefault="00E9566B" w:rsidP="00A60CCF">
            <w:pPr>
              <w:pStyle w:val="Geenafstand"/>
              <w:jc w:val="center"/>
              <w:rPr>
                <w:rFonts w:cs="Calibri"/>
                <w:color w:val="000000"/>
              </w:rPr>
            </w:pPr>
            <w:r w:rsidRPr="00D607FC">
              <w:rPr>
                <w:rFonts w:cs="Calibri"/>
                <w:color w:val="000000"/>
              </w:rPr>
              <w:t>167,17</w:t>
            </w:r>
          </w:p>
        </w:tc>
        <w:tc>
          <w:tcPr>
            <w:tcW w:w="1327" w:type="dxa"/>
            <w:noWrap/>
            <w:hideMark/>
          </w:tcPr>
          <w:p w14:paraId="528B3D7D" w14:textId="77777777" w:rsidR="00E9566B" w:rsidRPr="00D607FC" w:rsidRDefault="00E9566B" w:rsidP="00A60CCF">
            <w:pPr>
              <w:pStyle w:val="Geenafstand"/>
              <w:jc w:val="center"/>
              <w:rPr>
                <w:rFonts w:cs="Calibri"/>
                <w:color w:val="000000"/>
              </w:rPr>
            </w:pPr>
            <w:r w:rsidRPr="00D607FC">
              <w:rPr>
                <w:rFonts w:cs="Calibri"/>
                <w:color w:val="000000"/>
              </w:rPr>
              <w:t>317,14</w:t>
            </w:r>
          </w:p>
        </w:tc>
        <w:tc>
          <w:tcPr>
            <w:tcW w:w="1418" w:type="dxa"/>
            <w:noWrap/>
            <w:hideMark/>
          </w:tcPr>
          <w:p w14:paraId="42C2BD93" w14:textId="77777777" w:rsidR="00E9566B" w:rsidRPr="00D607FC" w:rsidRDefault="00E9566B" w:rsidP="00A60CCF">
            <w:pPr>
              <w:pStyle w:val="Geenafstand"/>
              <w:jc w:val="center"/>
              <w:rPr>
                <w:rFonts w:cs="Calibri"/>
                <w:color w:val="000000"/>
              </w:rPr>
            </w:pPr>
            <w:r w:rsidRPr="00D607FC">
              <w:rPr>
                <w:rFonts w:cs="Calibri"/>
                <w:color w:val="000000"/>
              </w:rPr>
              <w:t>285,49</w:t>
            </w:r>
          </w:p>
        </w:tc>
        <w:tc>
          <w:tcPr>
            <w:tcW w:w="1413" w:type="dxa"/>
            <w:noWrap/>
            <w:hideMark/>
          </w:tcPr>
          <w:p w14:paraId="43EF9016" w14:textId="77777777" w:rsidR="00E9566B" w:rsidRPr="00D607FC" w:rsidRDefault="00E9566B" w:rsidP="00A60CCF">
            <w:pPr>
              <w:pStyle w:val="Geenafstand"/>
              <w:jc w:val="center"/>
              <w:rPr>
                <w:rFonts w:cs="Calibri"/>
                <w:color w:val="000000"/>
              </w:rPr>
            </w:pPr>
            <w:r w:rsidRPr="00D607FC">
              <w:rPr>
                <w:rFonts w:cs="Calibri"/>
                <w:color w:val="000000"/>
              </w:rPr>
              <w:t>371,08</w:t>
            </w:r>
          </w:p>
        </w:tc>
      </w:tr>
      <w:tr w:rsidR="00E9566B" w:rsidRPr="00D607FC" w14:paraId="4F759841" w14:textId="77777777" w:rsidTr="00A60CCF">
        <w:trPr>
          <w:trHeight w:val="315"/>
        </w:trPr>
        <w:tc>
          <w:tcPr>
            <w:tcW w:w="2127" w:type="dxa"/>
            <w:noWrap/>
            <w:hideMark/>
          </w:tcPr>
          <w:p w14:paraId="79AE2106" w14:textId="77777777" w:rsidR="00E9566B" w:rsidRPr="00D607FC" w:rsidRDefault="00E9566B" w:rsidP="00A60CCF">
            <w:pPr>
              <w:pStyle w:val="Geenafstand"/>
              <w:rPr>
                <w:rFonts w:cs="Calibri"/>
                <w:b/>
                <w:bCs/>
                <w:color w:val="000000"/>
              </w:rPr>
            </w:pPr>
            <w:r w:rsidRPr="00D607FC">
              <w:rPr>
                <w:rFonts w:cs="Calibri"/>
                <w:b/>
                <w:bCs/>
                <w:color w:val="000000"/>
              </w:rPr>
              <w:t>Scope 2</w:t>
            </w:r>
          </w:p>
        </w:tc>
        <w:tc>
          <w:tcPr>
            <w:tcW w:w="1417" w:type="dxa"/>
            <w:noWrap/>
            <w:hideMark/>
          </w:tcPr>
          <w:p w14:paraId="2835CEA1" w14:textId="77777777" w:rsidR="00E9566B" w:rsidRPr="00D607FC" w:rsidRDefault="00E9566B" w:rsidP="00A60CCF">
            <w:pPr>
              <w:pStyle w:val="Geenafstand"/>
              <w:jc w:val="center"/>
              <w:rPr>
                <w:rFonts w:cs="Calibri"/>
                <w:color w:val="000000"/>
              </w:rPr>
            </w:pPr>
            <w:r w:rsidRPr="00D607FC">
              <w:rPr>
                <w:rFonts w:cs="Calibri"/>
                <w:color w:val="000000"/>
              </w:rPr>
              <w:t>19,95</w:t>
            </w:r>
          </w:p>
        </w:tc>
        <w:tc>
          <w:tcPr>
            <w:tcW w:w="1366" w:type="dxa"/>
            <w:noWrap/>
            <w:hideMark/>
          </w:tcPr>
          <w:p w14:paraId="3344BC3F" w14:textId="77777777" w:rsidR="00E9566B" w:rsidRPr="00D607FC" w:rsidRDefault="00E9566B" w:rsidP="00A60CCF">
            <w:pPr>
              <w:pStyle w:val="Geenafstand"/>
              <w:jc w:val="center"/>
              <w:rPr>
                <w:rFonts w:cs="Calibri"/>
                <w:color w:val="000000"/>
              </w:rPr>
            </w:pPr>
            <w:r w:rsidRPr="00D607FC">
              <w:rPr>
                <w:rFonts w:cs="Calibri"/>
                <w:color w:val="000000"/>
              </w:rPr>
              <w:t>6,59</w:t>
            </w:r>
          </w:p>
        </w:tc>
        <w:tc>
          <w:tcPr>
            <w:tcW w:w="1327" w:type="dxa"/>
            <w:noWrap/>
            <w:hideMark/>
          </w:tcPr>
          <w:p w14:paraId="6EF69AD8" w14:textId="77777777" w:rsidR="00E9566B" w:rsidRPr="00D607FC" w:rsidRDefault="00E9566B" w:rsidP="00A60CCF">
            <w:pPr>
              <w:pStyle w:val="Geenafstand"/>
              <w:jc w:val="center"/>
              <w:rPr>
                <w:rFonts w:cs="Calibri"/>
                <w:color w:val="000000"/>
              </w:rPr>
            </w:pPr>
            <w:r w:rsidRPr="00D607FC">
              <w:rPr>
                <w:rFonts w:cs="Calibri"/>
                <w:color w:val="000000"/>
              </w:rPr>
              <w:t>26,54</w:t>
            </w:r>
          </w:p>
        </w:tc>
        <w:tc>
          <w:tcPr>
            <w:tcW w:w="1418" w:type="dxa"/>
            <w:noWrap/>
            <w:hideMark/>
          </w:tcPr>
          <w:p w14:paraId="059F4822" w14:textId="77777777" w:rsidR="00E9566B" w:rsidRPr="00D607FC" w:rsidRDefault="00E9566B" w:rsidP="00A60CCF">
            <w:pPr>
              <w:pStyle w:val="Geenafstand"/>
              <w:jc w:val="center"/>
              <w:rPr>
                <w:rFonts w:cs="Calibri"/>
                <w:color w:val="000000"/>
              </w:rPr>
            </w:pPr>
            <w:r w:rsidRPr="00D607FC">
              <w:rPr>
                <w:rFonts w:cs="Calibri"/>
                <w:color w:val="000000"/>
              </w:rPr>
              <w:t>47,74</w:t>
            </w:r>
          </w:p>
        </w:tc>
        <w:tc>
          <w:tcPr>
            <w:tcW w:w="1413" w:type="dxa"/>
            <w:noWrap/>
            <w:hideMark/>
          </w:tcPr>
          <w:p w14:paraId="4A9EF6F9" w14:textId="77777777" w:rsidR="00E9566B" w:rsidRPr="00D607FC" w:rsidRDefault="00E9566B" w:rsidP="00A60CCF">
            <w:pPr>
              <w:pStyle w:val="Geenafstand"/>
              <w:jc w:val="center"/>
              <w:rPr>
                <w:rFonts w:cs="Calibri"/>
                <w:color w:val="000000"/>
              </w:rPr>
            </w:pPr>
            <w:r w:rsidRPr="00D607FC">
              <w:rPr>
                <w:rFonts w:cs="Calibri"/>
                <w:color w:val="000000"/>
              </w:rPr>
              <w:t>33,24</w:t>
            </w:r>
          </w:p>
        </w:tc>
      </w:tr>
    </w:tbl>
    <w:p w14:paraId="6D5EE1BB" w14:textId="77777777" w:rsidR="00E9566B" w:rsidRDefault="00E9566B" w:rsidP="00E9566B">
      <w:pPr>
        <w:pStyle w:val="Geenafstand1"/>
        <w:rPr>
          <w:sz w:val="18"/>
          <w:szCs w:val="18"/>
        </w:rPr>
      </w:pPr>
    </w:p>
    <w:p w14:paraId="6C06C741" w14:textId="77777777" w:rsidR="00E9566B" w:rsidRPr="00132B53" w:rsidRDefault="00E9566B" w:rsidP="00A60CCF">
      <w:pPr>
        <w:pStyle w:val="Kop2"/>
        <w:numPr>
          <w:ilvl w:val="1"/>
          <w:numId w:val="14"/>
        </w:numPr>
        <w:rPr>
          <w:sz w:val="18"/>
          <w:szCs w:val="18"/>
        </w:rPr>
      </w:pPr>
      <w:bookmarkStart w:id="12" w:name="_Toc474320705"/>
      <w:bookmarkStart w:id="13" w:name="_Toc35288577"/>
      <w:r w:rsidRPr="00132B53">
        <w:rPr>
          <w:sz w:val="18"/>
          <w:szCs w:val="18"/>
          <w:lang w:val="nl-NL"/>
        </w:rPr>
        <w:t>Trends</w:t>
      </w:r>
      <w:bookmarkEnd w:id="12"/>
      <w:bookmarkEnd w:id="13"/>
    </w:p>
    <w:p w14:paraId="5B17006C" w14:textId="77777777" w:rsidR="00E9566B" w:rsidRPr="000D29AA" w:rsidRDefault="00E9566B" w:rsidP="00E9566B">
      <w:pPr>
        <w:pStyle w:val="Geenafstand1"/>
      </w:pPr>
      <w:r w:rsidRPr="000D29AA">
        <w:rPr>
          <w:noProof/>
          <w:lang w:eastAsia="nl-NL"/>
        </w:rPr>
        <w:drawing>
          <wp:inline distT="0" distB="0" distL="0" distR="0" wp14:anchorId="508CBFF2" wp14:editId="42AC8E04">
            <wp:extent cx="5734050" cy="2497455"/>
            <wp:effectExtent l="0" t="0" r="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781A29" w14:textId="77777777" w:rsidR="00E9566B" w:rsidRPr="000D29AA" w:rsidRDefault="00E9566B" w:rsidP="00E9566B">
      <w:pPr>
        <w:pStyle w:val="Geenafstand1"/>
      </w:pPr>
    </w:p>
    <w:p w14:paraId="46905216" w14:textId="77777777" w:rsidR="00E9566B" w:rsidRDefault="00E9566B" w:rsidP="00E9566B">
      <w:pPr>
        <w:pStyle w:val="Geenafstand1"/>
        <w:rPr>
          <w:rFonts w:asciiTheme="minorHAnsi" w:hAnsiTheme="minorHAnsi"/>
          <w:sz w:val="18"/>
          <w:szCs w:val="18"/>
        </w:rPr>
      </w:pPr>
      <w:r w:rsidRPr="0021026C">
        <w:rPr>
          <w:rFonts w:asciiTheme="minorHAnsi" w:hAnsiTheme="minorHAnsi"/>
          <w:sz w:val="18"/>
          <w:szCs w:val="18"/>
        </w:rPr>
        <w:t>De CO</w:t>
      </w:r>
      <w:r w:rsidRPr="0021026C">
        <w:rPr>
          <w:rFonts w:asciiTheme="minorHAnsi" w:hAnsiTheme="minorHAnsi"/>
          <w:sz w:val="18"/>
          <w:szCs w:val="18"/>
          <w:vertAlign w:val="subscript"/>
        </w:rPr>
        <w:t>2</w:t>
      </w:r>
      <w:r w:rsidRPr="0021026C">
        <w:rPr>
          <w:rFonts w:asciiTheme="minorHAnsi" w:hAnsiTheme="minorHAnsi"/>
          <w:sz w:val="18"/>
          <w:szCs w:val="18"/>
        </w:rPr>
        <w:t xml:space="preserve">-uitstoot is </w:t>
      </w:r>
      <w:r>
        <w:rPr>
          <w:rFonts w:asciiTheme="minorHAnsi" w:hAnsiTheme="minorHAnsi"/>
          <w:sz w:val="18"/>
          <w:szCs w:val="18"/>
        </w:rPr>
        <w:t xml:space="preserve">10 ton gestegen in 2019 ten opzichte van 2018. Als je kijkt naar de totale stijging qua omzet en de stijging qua uitstoot is VVE juist gedaald. </w:t>
      </w:r>
    </w:p>
    <w:p w14:paraId="29AA02DD" w14:textId="4D2C21F6" w:rsidR="00E9566B" w:rsidRDefault="00E9566B" w:rsidP="00E9566B">
      <w:pPr>
        <w:pStyle w:val="Geenafstand1"/>
        <w:rPr>
          <w:rFonts w:asciiTheme="minorHAnsi" w:hAnsiTheme="minorHAnsi"/>
          <w:sz w:val="18"/>
          <w:szCs w:val="18"/>
        </w:rPr>
      </w:pPr>
      <w:r>
        <w:rPr>
          <w:rFonts w:asciiTheme="minorHAnsi" w:hAnsiTheme="minorHAnsi"/>
          <w:sz w:val="18"/>
          <w:szCs w:val="18"/>
        </w:rPr>
        <w:t>Omdat de uitstoot nu beter in beeld kan worden gebracht ten opzichte van voorgaande jaren kun je zien dat de uitstoot verdeeld is. Daar</w:t>
      </w:r>
      <w:r w:rsidR="00106D41">
        <w:rPr>
          <w:rFonts w:asciiTheme="minorHAnsi" w:hAnsiTheme="minorHAnsi"/>
          <w:sz w:val="18"/>
          <w:szCs w:val="18"/>
        </w:rPr>
        <w:t>en</w:t>
      </w:r>
      <w:r>
        <w:rPr>
          <w:rFonts w:asciiTheme="minorHAnsi" w:hAnsiTheme="minorHAnsi"/>
          <w:sz w:val="18"/>
          <w:szCs w:val="18"/>
        </w:rPr>
        <w:t xml:space="preserve">tegen is de uitstoot van het gas </w:t>
      </w:r>
      <w:r w:rsidR="00106D41">
        <w:rPr>
          <w:rFonts w:asciiTheme="minorHAnsi" w:hAnsiTheme="minorHAnsi"/>
          <w:sz w:val="18"/>
          <w:szCs w:val="18"/>
        </w:rPr>
        <w:t>f</w:t>
      </w:r>
      <w:r>
        <w:rPr>
          <w:rFonts w:asciiTheme="minorHAnsi" w:hAnsiTheme="minorHAnsi"/>
          <w:sz w:val="18"/>
          <w:szCs w:val="18"/>
        </w:rPr>
        <w:t xml:space="preserve">ors gestegen. Hier is echter geen acute verklaring voor. </w:t>
      </w:r>
    </w:p>
    <w:p w14:paraId="7A3CAF33" w14:textId="311FBF86" w:rsidR="00E9566B" w:rsidRDefault="00E9566B" w:rsidP="00E9566B">
      <w:pPr>
        <w:pStyle w:val="Geenafstand1"/>
        <w:rPr>
          <w:rFonts w:asciiTheme="minorHAnsi" w:hAnsiTheme="minorHAnsi" w:cs="Segoe UI"/>
          <w:color w:val="212121"/>
          <w:sz w:val="18"/>
          <w:szCs w:val="18"/>
          <w:shd w:val="clear" w:color="auto" w:fill="FFFFFF"/>
        </w:rPr>
      </w:pPr>
    </w:p>
    <w:p w14:paraId="2A033366" w14:textId="57D7A0FA" w:rsidR="00106D41" w:rsidRDefault="00106D41" w:rsidP="00E9566B">
      <w:pPr>
        <w:pStyle w:val="Geenafstand1"/>
        <w:rPr>
          <w:rFonts w:asciiTheme="minorHAnsi" w:hAnsiTheme="minorHAnsi" w:cs="Segoe UI"/>
          <w:color w:val="212121"/>
          <w:sz w:val="18"/>
          <w:szCs w:val="18"/>
          <w:shd w:val="clear" w:color="auto" w:fill="FFFFFF"/>
        </w:rPr>
      </w:pPr>
    </w:p>
    <w:p w14:paraId="06477742" w14:textId="2F1D08D2" w:rsidR="00106D41" w:rsidRDefault="00106D41" w:rsidP="00E9566B">
      <w:pPr>
        <w:pStyle w:val="Geenafstand1"/>
        <w:rPr>
          <w:rFonts w:asciiTheme="minorHAnsi" w:hAnsiTheme="minorHAnsi" w:cs="Segoe UI"/>
          <w:color w:val="212121"/>
          <w:sz w:val="18"/>
          <w:szCs w:val="18"/>
          <w:shd w:val="clear" w:color="auto" w:fill="FFFFFF"/>
        </w:rPr>
      </w:pPr>
    </w:p>
    <w:p w14:paraId="07E83004" w14:textId="2314DB06" w:rsidR="00106D41" w:rsidRDefault="00106D41" w:rsidP="00E9566B">
      <w:pPr>
        <w:pStyle w:val="Geenafstand1"/>
        <w:rPr>
          <w:rFonts w:asciiTheme="minorHAnsi" w:hAnsiTheme="minorHAnsi" w:cs="Segoe UI"/>
          <w:color w:val="212121"/>
          <w:sz w:val="18"/>
          <w:szCs w:val="18"/>
          <w:shd w:val="clear" w:color="auto" w:fill="FFFFFF"/>
        </w:rPr>
      </w:pPr>
    </w:p>
    <w:p w14:paraId="72233790" w14:textId="77777777" w:rsidR="00106D41" w:rsidRDefault="00106D41" w:rsidP="00E9566B">
      <w:pPr>
        <w:pStyle w:val="Geenafstand1"/>
        <w:rPr>
          <w:rFonts w:asciiTheme="minorHAnsi" w:hAnsiTheme="minorHAnsi" w:cs="Segoe UI"/>
          <w:color w:val="212121"/>
          <w:sz w:val="18"/>
          <w:szCs w:val="18"/>
          <w:shd w:val="clear" w:color="auto" w:fill="FFFFFF"/>
        </w:rPr>
      </w:pPr>
    </w:p>
    <w:p w14:paraId="051A2C58" w14:textId="77777777" w:rsidR="00E9566B" w:rsidRDefault="00E9566B" w:rsidP="00A60CCF">
      <w:pPr>
        <w:pStyle w:val="Kop2"/>
        <w:numPr>
          <w:ilvl w:val="1"/>
          <w:numId w:val="14"/>
        </w:numPr>
        <w:snapToGrid/>
        <w:rPr>
          <w:rFonts w:asciiTheme="minorHAnsi" w:hAnsiTheme="minorHAnsi" w:cstheme="minorHAnsi"/>
          <w:sz w:val="18"/>
          <w:szCs w:val="18"/>
        </w:rPr>
      </w:pPr>
      <w:bookmarkStart w:id="14" w:name="_Toc474320706"/>
      <w:bookmarkStart w:id="15" w:name="_Toc35288578"/>
      <w:r w:rsidRPr="00572A76">
        <w:rPr>
          <w:rFonts w:asciiTheme="minorHAnsi" w:hAnsiTheme="minorHAnsi" w:cstheme="minorHAnsi"/>
          <w:sz w:val="18"/>
          <w:szCs w:val="18"/>
        </w:rPr>
        <w:lastRenderedPageBreak/>
        <w:t>Voortgang reductiedoelstellingen</w:t>
      </w:r>
      <w:bookmarkEnd w:id="14"/>
      <w:bookmarkEnd w:id="15"/>
    </w:p>
    <w:p w14:paraId="5823E656" w14:textId="77777777" w:rsidR="00E9566B" w:rsidRDefault="00E9566B" w:rsidP="00E9566B">
      <w:pPr>
        <w:pStyle w:val="Geenafstand1"/>
        <w:rPr>
          <w:sz w:val="18"/>
          <w:szCs w:val="18"/>
        </w:rPr>
      </w:pPr>
      <w:r w:rsidRPr="00AA509B">
        <w:rPr>
          <w:sz w:val="18"/>
          <w:szCs w:val="18"/>
        </w:rPr>
        <w:t>De directie van</w:t>
      </w:r>
      <w:r>
        <w:rPr>
          <w:sz w:val="18"/>
          <w:szCs w:val="18"/>
        </w:rPr>
        <w:t xml:space="preserve"> VVE</w:t>
      </w:r>
      <w:r w:rsidRPr="00AA509B">
        <w:rPr>
          <w:sz w:val="18"/>
          <w:szCs w:val="18"/>
        </w:rPr>
        <w:t xml:space="preserve"> heeft de volgende reductiedoelstelling</w:t>
      </w:r>
      <w:r>
        <w:rPr>
          <w:sz w:val="18"/>
          <w:szCs w:val="18"/>
        </w:rPr>
        <w:t>en</w:t>
      </w:r>
      <w:r w:rsidRPr="00AA509B">
        <w:rPr>
          <w:sz w:val="18"/>
          <w:szCs w:val="18"/>
        </w:rPr>
        <w:t xml:space="preserve"> gesteld:</w:t>
      </w:r>
    </w:p>
    <w:p w14:paraId="74485E2F" w14:textId="77777777" w:rsidR="00E9566B" w:rsidRPr="006E4F40" w:rsidRDefault="00E9566B" w:rsidP="00E9566B">
      <w:pPr>
        <w:pStyle w:val="Geenafstand1"/>
        <w:rPr>
          <w:sz w:val="18"/>
          <w:szCs w:val="18"/>
        </w:rPr>
      </w:pPr>
    </w:p>
    <w:p w14:paraId="17523553" w14:textId="77777777" w:rsidR="00E9566B" w:rsidRPr="00132B53" w:rsidRDefault="00E9566B" w:rsidP="00E9566B">
      <w:pPr>
        <w:pStyle w:val="Geenafstand1"/>
        <w:rPr>
          <w:sz w:val="18"/>
          <w:szCs w:val="18"/>
        </w:rPr>
      </w:pPr>
      <w:r w:rsidRPr="00132B53">
        <w:rPr>
          <w:sz w:val="18"/>
          <w:szCs w:val="18"/>
        </w:rPr>
        <w:t>Doelstelling Scope 1:</w:t>
      </w:r>
    </w:p>
    <w:p w14:paraId="47D47B8E" w14:textId="77777777" w:rsidR="00E9566B" w:rsidRDefault="00E9566B" w:rsidP="00E9566B">
      <w:pPr>
        <w:pStyle w:val="Lijst"/>
        <w:numPr>
          <w:ilvl w:val="0"/>
          <w:numId w:val="7"/>
        </w:numPr>
        <w:rPr>
          <w:sz w:val="18"/>
          <w:szCs w:val="18"/>
        </w:rPr>
      </w:pPr>
      <w:bookmarkStart w:id="16" w:name="_Hlk508115326"/>
      <w:r w:rsidRPr="00156160">
        <w:rPr>
          <w:sz w:val="18"/>
          <w:szCs w:val="18"/>
        </w:rPr>
        <w:t>10% CO2 reductie in 2023 ten opzichte van 201</w:t>
      </w:r>
      <w:r>
        <w:rPr>
          <w:sz w:val="18"/>
          <w:szCs w:val="18"/>
        </w:rPr>
        <w:t>4</w:t>
      </w:r>
      <w:r w:rsidRPr="00156160">
        <w:rPr>
          <w:sz w:val="18"/>
          <w:szCs w:val="18"/>
        </w:rPr>
        <w:t>.</w:t>
      </w:r>
    </w:p>
    <w:p w14:paraId="3D94DE96" w14:textId="77777777" w:rsidR="00E9566B" w:rsidRDefault="00E9566B" w:rsidP="00E9566B">
      <w:pPr>
        <w:pStyle w:val="Lijst"/>
        <w:numPr>
          <w:ilvl w:val="0"/>
          <w:numId w:val="0"/>
        </w:numPr>
        <w:ind w:left="360"/>
        <w:rPr>
          <w:sz w:val="18"/>
          <w:szCs w:val="18"/>
        </w:rPr>
      </w:pPr>
    </w:p>
    <w:p w14:paraId="132BFED4" w14:textId="77777777" w:rsidR="00E9566B" w:rsidRPr="006E4F40" w:rsidRDefault="00E9566B" w:rsidP="00E9566B">
      <w:pPr>
        <w:pStyle w:val="Lijst"/>
        <w:numPr>
          <w:ilvl w:val="0"/>
          <w:numId w:val="0"/>
        </w:numPr>
        <w:ind w:left="357" w:hanging="357"/>
        <w:rPr>
          <w:rFonts w:asciiTheme="minorHAnsi" w:hAnsiTheme="minorHAnsi" w:cstheme="minorHAnsi"/>
          <w:iCs/>
          <w:sz w:val="18"/>
          <w:szCs w:val="18"/>
        </w:rPr>
      </w:pPr>
      <w:r w:rsidRPr="006E4F40">
        <w:rPr>
          <w:rFonts w:asciiTheme="minorHAnsi" w:hAnsiTheme="minorHAnsi" w:cstheme="minorHAnsi"/>
          <w:iCs/>
          <w:sz w:val="18"/>
          <w:szCs w:val="18"/>
        </w:rPr>
        <w:t>Doelstelling Scope 2:</w:t>
      </w:r>
    </w:p>
    <w:p w14:paraId="19DBD8CB" w14:textId="77777777" w:rsidR="00E9566B" w:rsidRPr="00572A76" w:rsidRDefault="00E9566B" w:rsidP="00E9566B">
      <w:pPr>
        <w:pStyle w:val="Lijst"/>
        <w:numPr>
          <w:ilvl w:val="0"/>
          <w:numId w:val="7"/>
        </w:numPr>
        <w:rPr>
          <w:rFonts w:asciiTheme="minorHAnsi" w:hAnsiTheme="minorHAnsi" w:cstheme="minorHAnsi"/>
          <w:sz w:val="18"/>
          <w:szCs w:val="18"/>
        </w:rPr>
      </w:pPr>
      <w:r w:rsidRPr="00156160">
        <w:rPr>
          <w:rFonts w:asciiTheme="minorHAnsi" w:hAnsiTheme="minorHAnsi" w:cstheme="minorHAnsi"/>
          <w:sz w:val="18"/>
          <w:szCs w:val="18"/>
        </w:rPr>
        <w:t>5% CO2</w:t>
      </w:r>
      <w:r w:rsidRPr="00572A76">
        <w:rPr>
          <w:rFonts w:asciiTheme="minorHAnsi" w:hAnsiTheme="minorHAnsi" w:cstheme="minorHAnsi"/>
          <w:sz w:val="18"/>
          <w:szCs w:val="18"/>
        </w:rPr>
        <w:t xml:space="preserve"> reductie in 20</w:t>
      </w:r>
      <w:r>
        <w:rPr>
          <w:rFonts w:asciiTheme="minorHAnsi" w:hAnsiTheme="minorHAnsi" w:cstheme="minorHAnsi"/>
          <w:sz w:val="18"/>
          <w:szCs w:val="18"/>
        </w:rPr>
        <w:t xml:space="preserve">23 </w:t>
      </w:r>
      <w:r w:rsidRPr="00572A76">
        <w:rPr>
          <w:rFonts w:asciiTheme="minorHAnsi" w:hAnsiTheme="minorHAnsi" w:cstheme="minorHAnsi"/>
          <w:sz w:val="18"/>
          <w:szCs w:val="18"/>
        </w:rPr>
        <w:t>ten opzichte van 201</w:t>
      </w:r>
      <w:r>
        <w:rPr>
          <w:rFonts w:asciiTheme="minorHAnsi" w:hAnsiTheme="minorHAnsi" w:cstheme="minorHAnsi"/>
          <w:sz w:val="18"/>
          <w:szCs w:val="18"/>
        </w:rPr>
        <w:t>4</w:t>
      </w:r>
      <w:r w:rsidRPr="00572A76">
        <w:rPr>
          <w:rFonts w:asciiTheme="minorHAnsi" w:hAnsiTheme="minorHAnsi" w:cstheme="minorHAnsi"/>
          <w:sz w:val="18"/>
          <w:szCs w:val="18"/>
        </w:rPr>
        <w:t>.</w:t>
      </w:r>
    </w:p>
    <w:p w14:paraId="2218AC0E" w14:textId="77777777" w:rsidR="00E9566B" w:rsidRPr="00A44275" w:rsidRDefault="00E9566B" w:rsidP="00E9566B">
      <w:pPr>
        <w:pStyle w:val="Geenafstand1"/>
        <w:ind w:left="360"/>
        <w:rPr>
          <w:sz w:val="18"/>
          <w:szCs w:val="18"/>
        </w:rPr>
      </w:pPr>
    </w:p>
    <w:p w14:paraId="278D536E" w14:textId="77777777" w:rsidR="00E9566B" w:rsidRPr="00A44275" w:rsidRDefault="00E9566B" w:rsidP="00E9566B">
      <w:pPr>
        <w:pStyle w:val="Geenafstand1"/>
        <w:rPr>
          <w:b/>
          <w:sz w:val="18"/>
          <w:szCs w:val="18"/>
        </w:rPr>
      </w:pPr>
      <w:r w:rsidRPr="00A44275">
        <w:rPr>
          <w:b/>
          <w:sz w:val="18"/>
          <w:szCs w:val="18"/>
        </w:rPr>
        <w:t>Evaluatie doelstelling Scope 1</w:t>
      </w:r>
      <w:r>
        <w:rPr>
          <w:b/>
          <w:sz w:val="18"/>
          <w:szCs w:val="18"/>
        </w:rPr>
        <w:t xml:space="preserve"> en 2</w:t>
      </w:r>
    </w:p>
    <w:p w14:paraId="73C65B3B" w14:textId="77777777" w:rsidR="00E9566B" w:rsidRDefault="00E9566B" w:rsidP="00E9566B">
      <w:pPr>
        <w:pStyle w:val="Geenafstand1"/>
        <w:rPr>
          <w:sz w:val="18"/>
          <w:szCs w:val="18"/>
        </w:rPr>
      </w:pPr>
      <w:r>
        <w:rPr>
          <w:sz w:val="18"/>
          <w:szCs w:val="18"/>
        </w:rPr>
        <w:t xml:space="preserve">Bovengenoemde doelstellingen zijn opgenomen in het jaarplan 2019. Deze doelstellingen zijn echter niet haalbaar omdat er over 2014 geen juiste berekening beschikbaar is. 2014, 2015 en 2016 zijn niet meer her te berekenen. Dit komt omdat BP al deze jaren verkeerde dumplijsten heeft aangeleverd. De dumplijsten vanaf 2017 zijn  her-berekend. Hierbij kunnen we met zekerheid zeggen dat deze juist zijn. Er is daarom besloten om het basisjaar aan te passen naar 2017. </w:t>
      </w:r>
    </w:p>
    <w:p w14:paraId="1BA6D016" w14:textId="77777777" w:rsidR="00E9566B" w:rsidRPr="00FC6EF5" w:rsidRDefault="00E9566B" w:rsidP="00E9566B">
      <w:pPr>
        <w:pStyle w:val="Geenafstand1"/>
        <w:rPr>
          <w:sz w:val="18"/>
          <w:szCs w:val="18"/>
        </w:rPr>
      </w:pPr>
      <w:r>
        <w:rPr>
          <w:sz w:val="18"/>
          <w:szCs w:val="18"/>
        </w:rPr>
        <w:t>In het jaarplan 2020 zijn de nieuwe doelstellingen benoemd.</w:t>
      </w:r>
    </w:p>
    <w:bookmarkEnd w:id="16"/>
    <w:p w14:paraId="698993F6" w14:textId="77777777" w:rsidR="00E9566B" w:rsidRDefault="00E9566B" w:rsidP="00E9566B">
      <w:pPr>
        <w:pStyle w:val="Lijst"/>
        <w:numPr>
          <w:ilvl w:val="0"/>
          <w:numId w:val="0"/>
        </w:numPr>
        <w:rPr>
          <w:rFonts w:asciiTheme="minorHAnsi" w:hAnsiTheme="minorHAnsi" w:cstheme="minorHAnsi"/>
          <w:sz w:val="18"/>
          <w:szCs w:val="18"/>
        </w:rPr>
      </w:pPr>
    </w:p>
    <w:p w14:paraId="5DFE3881" w14:textId="77777777" w:rsidR="00E9566B" w:rsidRPr="00C87727" w:rsidRDefault="00E9566B" w:rsidP="00E9566B">
      <w:pPr>
        <w:pStyle w:val="Geenafstand1"/>
        <w:rPr>
          <w:b/>
          <w:sz w:val="18"/>
          <w:szCs w:val="18"/>
        </w:rPr>
      </w:pPr>
      <w:r w:rsidRPr="00C87727">
        <w:rPr>
          <w:b/>
          <w:sz w:val="18"/>
          <w:szCs w:val="18"/>
        </w:rPr>
        <w:t>Maatregelen</w:t>
      </w:r>
    </w:p>
    <w:p w14:paraId="7CCA9B87" w14:textId="77777777" w:rsidR="00E9566B" w:rsidRDefault="00E9566B" w:rsidP="00E9566B">
      <w:pPr>
        <w:pStyle w:val="Geenafstand1"/>
        <w:rPr>
          <w:sz w:val="18"/>
          <w:szCs w:val="18"/>
        </w:rPr>
      </w:pPr>
      <w:r>
        <w:rPr>
          <w:sz w:val="18"/>
          <w:szCs w:val="18"/>
        </w:rPr>
        <w:t>Per energiestroom zullen de volgende maatregelen het meeste resultaat opleveren.</w:t>
      </w:r>
    </w:p>
    <w:p w14:paraId="03BD951D" w14:textId="77777777" w:rsidR="00E9566B" w:rsidRPr="00EF70DD" w:rsidRDefault="00E9566B" w:rsidP="00E9566B">
      <w:pPr>
        <w:pStyle w:val="Geenafstand1"/>
        <w:numPr>
          <w:ilvl w:val="0"/>
          <w:numId w:val="6"/>
        </w:numPr>
        <w:rPr>
          <w:sz w:val="18"/>
          <w:szCs w:val="18"/>
        </w:rPr>
      </w:pPr>
      <w:r w:rsidRPr="00EF70DD">
        <w:rPr>
          <w:sz w:val="18"/>
          <w:szCs w:val="18"/>
        </w:rPr>
        <w:t xml:space="preserve">Diesel: </w:t>
      </w:r>
      <w:r>
        <w:rPr>
          <w:sz w:val="18"/>
          <w:szCs w:val="18"/>
        </w:rPr>
        <w:t>Vervanging wagenpark voor zuinigere bussen en auto’s.</w:t>
      </w:r>
    </w:p>
    <w:p w14:paraId="1B0E31CF" w14:textId="77777777" w:rsidR="00E9566B" w:rsidRPr="00EF70DD" w:rsidRDefault="00E9566B" w:rsidP="00E9566B">
      <w:pPr>
        <w:pStyle w:val="Geenafstand1"/>
        <w:numPr>
          <w:ilvl w:val="0"/>
          <w:numId w:val="6"/>
        </w:numPr>
        <w:rPr>
          <w:sz w:val="18"/>
          <w:szCs w:val="18"/>
        </w:rPr>
      </w:pPr>
      <w:r w:rsidRPr="00EF70DD">
        <w:rPr>
          <w:sz w:val="18"/>
          <w:szCs w:val="18"/>
        </w:rPr>
        <w:t>Gas:</w:t>
      </w:r>
      <w:r>
        <w:rPr>
          <w:sz w:val="18"/>
          <w:szCs w:val="18"/>
        </w:rPr>
        <w:t xml:space="preserve"> Isolatie van het bedrijfspand (Uitgesloten maatregel vanwege toekomstige verhuizing)</w:t>
      </w:r>
    </w:p>
    <w:p w14:paraId="0A99957D" w14:textId="77777777" w:rsidR="00E9566B" w:rsidRPr="00A60CCF" w:rsidRDefault="00E9566B" w:rsidP="00A60CCF">
      <w:pPr>
        <w:pStyle w:val="Geenafstand1"/>
        <w:numPr>
          <w:ilvl w:val="0"/>
          <w:numId w:val="6"/>
        </w:numPr>
        <w:rPr>
          <w:rFonts w:ascii="Arial" w:hAnsi="Arial" w:cs="Arial"/>
          <w:noProof/>
          <w:color w:val="FF0000"/>
          <w:sz w:val="20"/>
          <w:szCs w:val="20"/>
          <w:lang w:eastAsia="nl-NL"/>
        </w:rPr>
      </w:pPr>
      <w:r w:rsidRPr="00EF70DD">
        <w:rPr>
          <w:color w:val="000000" w:themeColor="text1"/>
          <w:sz w:val="18"/>
          <w:szCs w:val="18"/>
        </w:rPr>
        <w:t>Elektra: De meeste winst wordt geboekt met het overgaan op groene stroom en dan met name 100% Nederlandse windenergie</w:t>
      </w:r>
      <w:r w:rsidRPr="00EF70DD">
        <w:rPr>
          <w:sz w:val="18"/>
          <w:szCs w:val="18"/>
        </w:rPr>
        <w:t>.</w:t>
      </w:r>
    </w:p>
    <w:p w14:paraId="4108943B" w14:textId="77777777" w:rsidR="00E9566B" w:rsidRPr="00A60CCF" w:rsidRDefault="00E9566B" w:rsidP="00A60CCF">
      <w:pPr>
        <w:pStyle w:val="Kop1"/>
        <w:numPr>
          <w:ilvl w:val="0"/>
          <w:numId w:val="14"/>
        </w:numPr>
        <w:rPr>
          <w:rFonts w:asciiTheme="minorHAnsi" w:hAnsiTheme="minorHAnsi" w:cstheme="minorHAnsi"/>
          <w:color w:val="auto"/>
          <w:sz w:val="24"/>
          <w:szCs w:val="24"/>
        </w:rPr>
      </w:pPr>
      <w:bookmarkStart w:id="17" w:name="_Toc35288582"/>
      <w:r w:rsidRPr="00A60CCF">
        <w:rPr>
          <w:rFonts w:asciiTheme="minorHAnsi" w:hAnsiTheme="minorHAnsi" w:cstheme="minorHAnsi"/>
          <w:color w:val="auto"/>
          <w:sz w:val="24"/>
          <w:szCs w:val="24"/>
        </w:rPr>
        <w:t>Maatregelen en initiatieven</w:t>
      </w:r>
      <w:bookmarkEnd w:id="17"/>
    </w:p>
    <w:p w14:paraId="012B81A4" w14:textId="77777777" w:rsidR="00E9566B" w:rsidRDefault="00E9566B" w:rsidP="00E9566B">
      <w:pPr>
        <w:pStyle w:val="Geenafstand"/>
        <w:jc w:val="both"/>
        <w:rPr>
          <w:sz w:val="18"/>
          <w:szCs w:val="18"/>
        </w:rPr>
      </w:pPr>
      <w:r w:rsidRPr="002223D4">
        <w:rPr>
          <w:sz w:val="18"/>
          <w:szCs w:val="18"/>
        </w:rPr>
        <w:t>Een daling van het energieverbruik leidt in bijna alle gevallen ook tot CO</w:t>
      </w:r>
      <w:r w:rsidRPr="002223D4">
        <w:rPr>
          <w:sz w:val="18"/>
          <w:szCs w:val="18"/>
          <w:vertAlign w:val="subscript"/>
        </w:rPr>
        <w:t>2</w:t>
      </w:r>
      <w:r w:rsidRPr="002223D4">
        <w:rPr>
          <w:sz w:val="18"/>
          <w:szCs w:val="18"/>
        </w:rPr>
        <w:t>-reductie. Het nemen van maatregelen die het energieverbruik verlagen dragen daardoor bij aan het behalen van de CO</w:t>
      </w:r>
      <w:r w:rsidRPr="002223D4">
        <w:rPr>
          <w:sz w:val="18"/>
          <w:szCs w:val="18"/>
          <w:vertAlign w:val="subscript"/>
        </w:rPr>
        <w:t>2</w:t>
      </w:r>
      <w:r w:rsidRPr="002223D4">
        <w:rPr>
          <w:sz w:val="18"/>
          <w:szCs w:val="18"/>
        </w:rPr>
        <w:t xml:space="preserve">-reductiemaatregelen. </w:t>
      </w:r>
    </w:p>
    <w:p w14:paraId="7D191AC2" w14:textId="77777777" w:rsidR="00E9566B" w:rsidRDefault="00E9566B" w:rsidP="00E9566B">
      <w:pPr>
        <w:pStyle w:val="Geenafstand"/>
        <w:rPr>
          <w:sz w:val="18"/>
          <w:szCs w:val="18"/>
        </w:rPr>
      </w:pPr>
      <w:r w:rsidRPr="002223D4">
        <w:rPr>
          <w:sz w:val="18"/>
          <w:szCs w:val="18"/>
        </w:rPr>
        <w:t>In het onderstaande overzicht staan de maatregelen die al getroffen zijn.</w:t>
      </w:r>
    </w:p>
    <w:p w14:paraId="47248ECC" w14:textId="77777777" w:rsidR="00E9566B" w:rsidRPr="002223D4" w:rsidRDefault="00E9566B" w:rsidP="00E9566B">
      <w:pPr>
        <w:pStyle w:val="Geenafstand"/>
        <w:rPr>
          <w:sz w:val="18"/>
          <w:szCs w:val="18"/>
        </w:rPr>
      </w:pPr>
    </w:p>
    <w:p w14:paraId="6086F2F6" w14:textId="77777777" w:rsidR="00E9566B" w:rsidRPr="002223D4" w:rsidRDefault="00E9566B" w:rsidP="00E9566B">
      <w:pPr>
        <w:pStyle w:val="Geenafstand"/>
        <w:rPr>
          <w:rFonts w:eastAsia="Times New Roman" w:cs="Times New Roman"/>
          <w:sz w:val="18"/>
          <w:szCs w:val="18"/>
          <w:lang w:eastAsia="nl-NL"/>
        </w:rPr>
      </w:pPr>
      <w:r w:rsidRPr="002223D4">
        <w:rPr>
          <w:rFonts w:eastAsia="Times New Roman" w:cs="Times New Roman"/>
          <w:sz w:val="18"/>
          <w:szCs w:val="18"/>
          <w:lang w:eastAsia="nl-NL"/>
        </w:rPr>
        <w:t>De initiële doelstellingen zoals opgesteld zijn</w:t>
      </w:r>
      <w:r>
        <w:rPr>
          <w:rFonts w:eastAsia="Times New Roman" w:cs="Times New Roman"/>
          <w:sz w:val="18"/>
          <w:szCs w:val="18"/>
          <w:lang w:eastAsia="nl-NL"/>
        </w:rPr>
        <w:t>:</w:t>
      </w:r>
    </w:p>
    <w:p w14:paraId="3423B2D1" w14:textId="77777777" w:rsidR="00E9566B" w:rsidRPr="002223D4" w:rsidRDefault="00E9566B" w:rsidP="00E9566B">
      <w:pPr>
        <w:pStyle w:val="Geenafstand"/>
        <w:numPr>
          <w:ilvl w:val="0"/>
          <w:numId w:val="4"/>
        </w:numPr>
        <w:rPr>
          <w:rFonts w:eastAsia="Times New Roman" w:cs="Times New Roman"/>
          <w:sz w:val="18"/>
          <w:szCs w:val="18"/>
          <w:lang w:eastAsia="nl-NL"/>
        </w:rPr>
      </w:pPr>
      <w:r w:rsidRPr="002223D4">
        <w:rPr>
          <w:rFonts w:eastAsia="Times New Roman" w:cs="Times New Roman"/>
          <w:sz w:val="18"/>
          <w:szCs w:val="18"/>
          <w:lang w:eastAsia="nl-NL"/>
        </w:rPr>
        <w:t>Verlagen van het zakelijke kilometrage en brandstofverbruik</w:t>
      </w:r>
      <w:r>
        <w:rPr>
          <w:rFonts w:eastAsia="Times New Roman" w:cs="Times New Roman"/>
          <w:sz w:val="18"/>
          <w:szCs w:val="18"/>
          <w:lang w:eastAsia="nl-NL"/>
        </w:rPr>
        <w:t>;</w:t>
      </w:r>
    </w:p>
    <w:p w14:paraId="588FC188" w14:textId="77777777" w:rsidR="00E9566B" w:rsidRPr="002223D4" w:rsidRDefault="00E9566B" w:rsidP="00E9566B">
      <w:pPr>
        <w:pStyle w:val="Geenafstand"/>
        <w:numPr>
          <w:ilvl w:val="0"/>
          <w:numId w:val="4"/>
        </w:numPr>
        <w:rPr>
          <w:rFonts w:eastAsia="Times New Roman" w:cs="Times New Roman"/>
          <w:sz w:val="18"/>
          <w:szCs w:val="18"/>
          <w:lang w:eastAsia="nl-NL"/>
        </w:rPr>
      </w:pPr>
      <w:r w:rsidRPr="002223D4">
        <w:rPr>
          <w:rFonts w:eastAsia="Times New Roman" w:cs="Times New Roman"/>
          <w:sz w:val="18"/>
          <w:szCs w:val="18"/>
          <w:lang w:eastAsia="nl-NL"/>
        </w:rPr>
        <w:t>Schoner leasewagenpark</w:t>
      </w:r>
      <w:r>
        <w:rPr>
          <w:rFonts w:eastAsia="Times New Roman" w:cs="Times New Roman"/>
          <w:sz w:val="18"/>
          <w:szCs w:val="18"/>
          <w:lang w:eastAsia="nl-NL"/>
        </w:rPr>
        <w:t>;</w:t>
      </w:r>
    </w:p>
    <w:p w14:paraId="1E0074CC" w14:textId="77777777" w:rsidR="00E9566B" w:rsidRPr="002223D4" w:rsidRDefault="00E9566B" w:rsidP="00E9566B">
      <w:pPr>
        <w:pStyle w:val="Geenafstand"/>
        <w:numPr>
          <w:ilvl w:val="0"/>
          <w:numId w:val="4"/>
        </w:numPr>
        <w:rPr>
          <w:rFonts w:eastAsia="Times New Roman" w:cs="Times New Roman"/>
          <w:sz w:val="18"/>
          <w:szCs w:val="18"/>
          <w:lang w:eastAsia="nl-NL"/>
        </w:rPr>
      </w:pPr>
      <w:r w:rsidRPr="002223D4">
        <w:rPr>
          <w:rFonts w:eastAsia="Times New Roman" w:cs="Times New Roman"/>
          <w:sz w:val="18"/>
          <w:szCs w:val="18"/>
          <w:lang w:eastAsia="nl-NL"/>
        </w:rPr>
        <w:t>Verhogen bewustwording medewerkers</w:t>
      </w:r>
      <w:r>
        <w:rPr>
          <w:rFonts w:eastAsia="Times New Roman" w:cs="Times New Roman"/>
          <w:sz w:val="18"/>
          <w:szCs w:val="18"/>
          <w:lang w:eastAsia="nl-NL"/>
        </w:rPr>
        <w:t>;</w:t>
      </w:r>
    </w:p>
    <w:p w14:paraId="128D694A" w14:textId="77777777" w:rsidR="00E9566B" w:rsidRPr="002223D4" w:rsidRDefault="00E9566B" w:rsidP="00E9566B">
      <w:pPr>
        <w:pStyle w:val="Geenafstand"/>
        <w:numPr>
          <w:ilvl w:val="0"/>
          <w:numId w:val="4"/>
        </w:numPr>
        <w:rPr>
          <w:rFonts w:eastAsia="Times New Roman" w:cs="Times New Roman"/>
          <w:sz w:val="18"/>
          <w:szCs w:val="18"/>
          <w:lang w:eastAsia="nl-NL"/>
        </w:rPr>
      </w:pPr>
      <w:r w:rsidRPr="002223D4">
        <w:rPr>
          <w:rFonts w:eastAsia="Times New Roman" w:cs="Times New Roman"/>
          <w:sz w:val="18"/>
          <w:szCs w:val="18"/>
          <w:lang w:eastAsia="nl-NL"/>
        </w:rPr>
        <w:t>Verbeteren gebruik elektrische middelen in de kantooromgeving</w:t>
      </w:r>
      <w:r>
        <w:rPr>
          <w:rFonts w:eastAsia="Times New Roman" w:cs="Times New Roman"/>
          <w:sz w:val="18"/>
          <w:szCs w:val="18"/>
          <w:lang w:eastAsia="nl-NL"/>
        </w:rPr>
        <w:t>;</w:t>
      </w:r>
    </w:p>
    <w:p w14:paraId="560CF1AE" w14:textId="77777777" w:rsidR="00E9566B" w:rsidRPr="002223D4" w:rsidRDefault="00E9566B" w:rsidP="00E9566B">
      <w:pPr>
        <w:pStyle w:val="Geenafstand"/>
        <w:numPr>
          <w:ilvl w:val="0"/>
          <w:numId w:val="4"/>
        </w:numPr>
        <w:rPr>
          <w:rFonts w:eastAsia="Times New Roman" w:cs="Times New Roman"/>
          <w:sz w:val="18"/>
          <w:szCs w:val="18"/>
          <w:lang w:eastAsia="nl-NL"/>
        </w:rPr>
      </w:pPr>
      <w:r w:rsidRPr="002223D4">
        <w:rPr>
          <w:rFonts w:eastAsia="Times New Roman" w:cs="Times New Roman"/>
          <w:sz w:val="18"/>
          <w:szCs w:val="18"/>
          <w:lang w:eastAsia="nl-NL"/>
        </w:rPr>
        <w:t>Computer, verlichting en gebruik koelinstallaties</w:t>
      </w:r>
      <w:r>
        <w:rPr>
          <w:rFonts w:eastAsia="Times New Roman" w:cs="Times New Roman"/>
          <w:sz w:val="18"/>
          <w:szCs w:val="18"/>
          <w:lang w:eastAsia="nl-NL"/>
        </w:rPr>
        <w:t>;</w:t>
      </w:r>
    </w:p>
    <w:p w14:paraId="49A08A16" w14:textId="77777777" w:rsidR="00E9566B" w:rsidRPr="002223D4" w:rsidRDefault="00E9566B" w:rsidP="00E9566B">
      <w:pPr>
        <w:pStyle w:val="Geenafstand"/>
        <w:numPr>
          <w:ilvl w:val="0"/>
          <w:numId w:val="4"/>
        </w:numPr>
        <w:rPr>
          <w:rFonts w:eastAsia="Times New Roman" w:cs="Times New Roman"/>
          <w:sz w:val="18"/>
          <w:szCs w:val="18"/>
          <w:lang w:eastAsia="nl-NL"/>
        </w:rPr>
      </w:pPr>
      <w:r w:rsidRPr="002223D4">
        <w:rPr>
          <w:rFonts w:eastAsia="Times New Roman" w:cs="Times New Roman"/>
          <w:sz w:val="18"/>
          <w:szCs w:val="18"/>
          <w:lang w:eastAsia="nl-NL"/>
        </w:rPr>
        <w:t>Bewuster omgaan met de verwarming van beide bedrijfspanden</w:t>
      </w:r>
      <w:r>
        <w:rPr>
          <w:rFonts w:eastAsia="Times New Roman" w:cs="Times New Roman"/>
          <w:sz w:val="18"/>
          <w:szCs w:val="18"/>
          <w:lang w:eastAsia="nl-NL"/>
        </w:rPr>
        <w:t>;</w:t>
      </w:r>
    </w:p>
    <w:p w14:paraId="2EDE3AB8" w14:textId="77777777" w:rsidR="00E9566B" w:rsidRDefault="00E9566B" w:rsidP="00E9566B">
      <w:pPr>
        <w:pStyle w:val="Geenafstand"/>
        <w:numPr>
          <w:ilvl w:val="0"/>
          <w:numId w:val="4"/>
        </w:numPr>
        <w:rPr>
          <w:rFonts w:eastAsia="Times New Roman" w:cs="Times New Roman"/>
          <w:sz w:val="18"/>
          <w:szCs w:val="18"/>
          <w:lang w:eastAsia="nl-NL"/>
        </w:rPr>
      </w:pPr>
      <w:r w:rsidRPr="002223D4">
        <w:rPr>
          <w:rFonts w:eastAsia="Times New Roman" w:cs="Times New Roman"/>
          <w:sz w:val="18"/>
          <w:szCs w:val="18"/>
          <w:lang w:eastAsia="nl-NL"/>
        </w:rPr>
        <w:t>Toepassen waar mogelijk van groene elektriciteit.</w:t>
      </w:r>
    </w:p>
    <w:p w14:paraId="1E7F7EAF" w14:textId="77777777" w:rsidR="00E9566B" w:rsidRPr="004C158B" w:rsidRDefault="00E9566B" w:rsidP="00A60CCF">
      <w:pPr>
        <w:pStyle w:val="Lijst"/>
        <w:numPr>
          <w:ilvl w:val="0"/>
          <w:numId w:val="0"/>
        </w:numPr>
        <w:rPr>
          <w:rFonts w:asciiTheme="minorHAnsi" w:hAnsiTheme="minorHAnsi" w:cstheme="minorHAnsi"/>
          <w:sz w:val="20"/>
          <w:szCs w:val="20"/>
        </w:rPr>
      </w:pPr>
    </w:p>
    <w:p w14:paraId="1C2BD140" w14:textId="77777777" w:rsidR="00E9566B" w:rsidRPr="00572A76" w:rsidRDefault="00E9566B" w:rsidP="00A60CCF">
      <w:pPr>
        <w:pStyle w:val="Kop2"/>
        <w:numPr>
          <w:ilvl w:val="1"/>
          <w:numId w:val="14"/>
        </w:numPr>
        <w:rPr>
          <w:sz w:val="18"/>
          <w:szCs w:val="18"/>
        </w:rPr>
      </w:pPr>
      <w:bookmarkStart w:id="18" w:name="_Toc441580127"/>
      <w:bookmarkStart w:id="19" w:name="_Toc35288586"/>
      <w:r w:rsidRPr="00572A76">
        <w:rPr>
          <w:sz w:val="18"/>
          <w:szCs w:val="18"/>
        </w:rPr>
        <w:t>Afgeronde initiatieven</w:t>
      </w:r>
      <w:bookmarkEnd w:id="18"/>
      <w:bookmarkEnd w:id="19"/>
    </w:p>
    <w:p w14:paraId="58073746" w14:textId="77777777" w:rsidR="00E9566B" w:rsidRPr="00E74056" w:rsidRDefault="00E9566B" w:rsidP="00E9566B">
      <w:pPr>
        <w:pStyle w:val="Geenafstand"/>
        <w:numPr>
          <w:ilvl w:val="0"/>
          <w:numId w:val="4"/>
        </w:numPr>
        <w:rPr>
          <w:sz w:val="18"/>
          <w:szCs w:val="18"/>
        </w:rPr>
      </w:pPr>
      <w:r w:rsidRPr="00E74056">
        <w:rPr>
          <w:sz w:val="18"/>
          <w:szCs w:val="18"/>
        </w:rPr>
        <w:t>Promotie laadpalen ten behoeve van duurzame mobiliteit</w:t>
      </w:r>
    </w:p>
    <w:p w14:paraId="27E06D05" w14:textId="77777777" w:rsidR="00E9566B" w:rsidRPr="00E74056" w:rsidRDefault="00E9566B" w:rsidP="00E9566B">
      <w:pPr>
        <w:pStyle w:val="Geenafstand"/>
        <w:rPr>
          <w:sz w:val="18"/>
          <w:szCs w:val="18"/>
        </w:rPr>
      </w:pPr>
    </w:p>
    <w:p w14:paraId="67C32491" w14:textId="77777777" w:rsidR="00E9566B" w:rsidRPr="00E74056" w:rsidRDefault="00E9566B" w:rsidP="00E9566B">
      <w:pPr>
        <w:pStyle w:val="Geenafstand"/>
        <w:rPr>
          <w:b/>
          <w:sz w:val="18"/>
          <w:szCs w:val="18"/>
        </w:rPr>
      </w:pPr>
      <w:r w:rsidRPr="00E74056">
        <w:rPr>
          <w:b/>
          <w:sz w:val="18"/>
          <w:szCs w:val="18"/>
        </w:rPr>
        <w:t>Beschrijving van het initiatief</w:t>
      </w:r>
    </w:p>
    <w:p w14:paraId="445EC104" w14:textId="77777777" w:rsidR="00E9566B" w:rsidRPr="00E74056" w:rsidRDefault="00E9566B" w:rsidP="00E9566B">
      <w:pPr>
        <w:pStyle w:val="Geenafstand"/>
        <w:rPr>
          <w:sz w:val="18"/>
          <w:szCs w:val="18"/>
        </w:rPr>
      </w:pPr>
      <w:r w:rsidRPr="00E74056">
        <w:rPr>
          <w:sz w:val="18"/>
          <w:szCs w:val="18"/>
        </w:rPr>
        <w:t>Het gebruik van elektrische auto’s neemt toe in Nederland. Elektrisch vervoer draagt bij aan het reduceren van de CO</w:t>
      </w:r>
      <w:r w:rsidRPr="00E74056">
        <w:rPr>
          <w:sz w:val="18"/>
          <w:szCs w:val="18"/>
          <w:vertAlign w:val="subscript"/>
        </w:rPr>
        <w:t>2</w:t>
      </w:r>
      <w:r w:rsidRPr="00E74056">
        <w:rPr>
          <w:sz w:val="18"/>
          <w:szCs w:val="18"/>
        </w:rPr>
        <w:t xml:space="preserve">-emissie. Door de toename van het gebruik van elektrische auto’s groeit de vraag naar laadpalen waarmee elektrische auto’s kunnen worden opgeladen. </w:t>
      </w:r>
    </w:p>
    <w:p w14:paraId="021F9757" w14:textId="77777777" w:rsidR="00E9566B" w:rsidRPr="00E74056" w:rsidRDefault="00E9566B" w:rsidP="00E9566B">
      <w:pPr>
        <w:pStyle w:val="Geenafstand"/>
        <w:rPr>
          <w:sz w:val="18"/>
          <w:szCs w:val="18"/>
        </w:rPr>
      </w:pPr>
      <w:r w:rsidRPr="00E74056">
        <w:rPr>
          <w:sz w:val="18"/>
          <w:szCs w:val="18"/>
        </w:rPr>
        <w:t>Gebruikers van elektrische auto’s zonder eigen garage of oprit kunnen hun auto niet opladen op eigen terrein. Een groot deel van de elektrische rijders is dus afhankelijk van de openbare ruimte in hun gemeente. Bij de beschikbaarheid van voldoende oplaadcapaciteit spelen gemeenten daardoor een belangrijke rol.</w:t>
      </w:r>
    </w:p>
    <w:p w14:paraId="10FD92C4" w14:textId="77777777" w:rsidR="00E9566B" w:rsidRPr="00E74056" w:rsidRDefault="00E9566B" w:rsidP="00E9566B">
      <w:pPr>
        <w:pStyle w:val="Geenafstand"/>
        <w:rPr>
          <w:sz w:val="18"/>
          <w:szCs w:val="18"/>
        </w:rPr>
      </w:pPr>
    </w:p>
    <w:p w14:paraId="6AF4187C" w14:textId="77777777" w:rsidR="00E9566B" w:rsidRPr="00E74056" w:rsidRDefault="00E9566B" w:rsidP="00E9566B">
      <w:pPr>
        <w:pStyle w:val="Geenafstand"/>
        <w:rPr>
          <w:sz w:val="18"/>
          <w:szCs w:val="18"/>
        </w:rPr>
      </w:pPr>
      <w:proofErr w:type="spellStart"/>
      <w:r w:rsidRPr="00E74056">
        <w:rPr>
          <w:sz w:val="18"/>
          <w:szCs w:val="18"/>
        </w:rPr>
        <w:t>Allego</w:t>
      </w:r>
      <w:proofErr w:type="spellEnd"/>
      <w:r w:rsidRPr="00E74056">
        <w:rPr>
          <w:sz w:val="18"/>
          <w:szCs w:val="18"/>
        </w:rPr>
        <w:t xml:space="preserve"> is leverancier van laadpalen voor elektrische auto’s. In samenwerking met </w:t>
      </w:r>
      <w:proofErr w:type="spellStart"/>
      <w:r w:rsidRPr="00E74056">
        <w:rPr>
          <w:sz w:val="18"/>
          <w:szCs w:val="18"/>
        </w:rPr>
        <w:t>Allego</w:t>
      </w:r>
      <w:proofErr w:type="spellEnd"/>
      <w:r w:rsidRPr="00E74056">
        <w:rPr>
          <w:sz w:val="18"/>
          <w:szCs w:val="18"/>
        </w:rPr>
        <w:t xml:space="preserve"> promoot Van Vuuren Elektrotechniek het gebruik van elektrische laadpalen door gemeenten en andere belangstellenden te informeren over de mogelijkheden en voorwaarden.</w:t>
      </w:r>
    </w:p>
    <w:p w14:paraId="315C2F21" w14:textId="77777777" w:rsidR="00E9566B" w:rsidRPr="00E74056" w:rsidRDefault="00E9566B" w:rsidP="00E9566B">
      <w:pPr>
        <w:pStyle w:val="Geenafstand"/>
        <w:rPr>
          <w:sz w:val="18"/>
          <w:szCs w:val="18"/>
        </w:rPr>
      </w:pPr>
      <w:r w:rsidRPr="00E74056">
        <w:rPr>
          <w:sz w:val="18"/>
          <w:szCs w:val="18"/>
        </w:rPr>
        <w:t xml:space="preserve">Van Vuuren Elektrotechniek beschikt over de technische kennis en ervaring en </w:t>
      </w:r>
      <w:proofErr w:type="spellStart"/>
      <w:r w:rsidRPr="00E74056">
        <w:rPr>
          <w:sz w:val="18"/>
          <w:szCs w:val="18"/>
        </w:rPr>
        <w:t>Allego</w:t>
      </w:r>
      <w:proofErr w:type="spellEnd"/>
      <w:r w:rsidRPr="00E74056">
        <w:rPr>
          <w:sz w:val="18"/>
          <w:szCs w:val="18"/>
        </w:rPr>
        <w:t xml:space="preserve"> is bekend met de procedurele aspecten van het plaatsten van laadpalen. Deze gezamenlijke kennis wordt beschikbaar gesteld aan gemeenten en andere geïnteresseerde partijen.</w:t>
      </w:r>
    </w:p>
    <w:p w14:paraId="3888D5FD" w14:textId="77777777" w:rsidR="00E9566B" w:rsidRPr="00E74056" w:rsidRDefault="00E9566B" w:rsidP="00E9566B">
      <w:pPr>
        <w:pStyle w:val="Geenafstand"/>
        <w:rPr>
          <w:sz w:val="18"/>
          <w:szCs w:val="18"/>
        </w:rPr>
      </w:pPr>
    </w:p>
    <w:p w14:paraId="74860BF2" w14:textId="77777777" w:rsidR="00E9566B" w:rsidRPr="00E74056" w:rsidRDefault="00E9566B" w:rsidP="00E9566B">
      <w:pPr>
        <w:pStyle w:val="Geenafstand"/>
        <w:rPr>
          <w:b/>
          <w:sz w:val="18"/>
          <w:szCs w:val="18"/>
        </w:rPr>
      </w:pPr>
      <w:r w:rsidRPr="00E74056">
        <w:rPr>
          <w:b/>
          <w:sz w:val="18"/>
          <w:szCs w:val="18"/>
        </w:rPr>
        <w:t>Doel van het initiatief</w:t>
      </w:r>
    </w:p>
    <w:p w14:paraId="5585363A" w14:textId="77777777" w:rsidR="00E9566B" w:rsidRPr="00E74056" w:rsidRDefault="00E9566B" w:rsidP="00E9566B">
      <w:pPr>
        <w:pStyle w:val="Geenafstand"/>
        <w:rPr>
          <w:sz w:val="18"/>
          <w:szCs w:val="18"/>
        </w:rPr>
      </w:pPr>
      <w:r w:rsidRPr="00E74056">
        <w:rPr>
          <w:sz w:val="18"/>
          <w:szCs w:val="18"/>
        </w:rPr>
        <w:t>Het doel van het voorlichten van gemeenten en andere partijen is het bevorderen van de beschikbaarheid van laadpalen zodat het gebruik van elektrische auto’s verder kan groeien.</w:t>
      </w:r>
    </w:p>
    <w:p w14:paraId="727E3DE3" w14:textId="77777777" w:rsidR="00E9566B" w:rsidRPr="00E74056" w:rsidRDefault="00E9566B" w:rsidP="00E9566B">
      <w:pPr>
        <w:pStyle w:val="Geenafstand"/>
        <w:rPr>
          <w:sz w:val="18"/>
          <w:szCs w:val="18"/>
        </w:rPr>
      </w:pPr>
    </w:p>
    <w:p w14:paraId="7019201A" w14:textId="77777777" w:rsidR="00E9566B" w:rsidRPr="00E74056" w:rsidRDefault="00E9566B" w:rsidP="00E9566B">
      <w:pPr>
        <w:pStyle w:val="Geenafstand"/>
        <w:rPr>
          <w:b/>
          <w:sz w:val="18"/>
          <w:szCs w:val="18"/>
        </w:rPr>
      </w:pPr>
      <w:r w:rsidRPr="00E74056">
        <w:rPr>
          <w:b/>
          <w:sz w:val="18"/>
          <w:szCs w:val="18"/>
        </w:rPr>
        <w:t>Wat is tot dusver bereikt</w:t>
      </w:r>
    </w:p>
    <w:p w14:paraId="0EF1825B" w14:textId="77777777" w:rsidR="00E9566B" w:rsidRPr="00E74056" w:rsidRDefault="00E9566B" w:rsidP="00E9566B">
      <w:pPr>
        <w:pStyle w:val="Geenafstand"/>
        <w:rPr>
          <w:sz w:val="18"/>
          <w:szCs w:val="18"/>
        </w:rPr>
      </w:pPr>
      <w:r w:rsidRPr="00E74056">
        <w:rPr>
          <w:sz w:val="18"/>
          <w:szCs w:val="18"/>
        </w:rPr>
        <w:t xml:space="preserve">Inmiddels zijn, na het informatietraject in samenwerking met </w:t>
      </w:r>
      <w:proofErr w:type="spellStart"/>
      <w:r w:rsidRPr="00E74056">
        <w:rPr>
          <w:sz w:val="18"/>
          <w:szCs w:val="18"/>
        </w:rPr>
        <w:t>Allego</w:t>
      </w:r>
      <w:proofErr w:type="spellEnd"/>
      <w:r w:rsidRPr="00E74056">
        <w:rPr>
          <w:sz w:val="18"/>
          <w:szCs w:val="18"/>
        </w:rPr>
        <w:t>, elektrische laadpalen geplaatst in onder andere de gemeenten Amstelveen, Aalsmeer, Den Helder en Zandvoort.</w:t>
      </w:r>
    </w:p>
    <w:p w14:paraId="622288BD" w14:textId="77777777" w:rsidR="00E9566B" w:rsidRPr="00E74056" w:rsidRDefault="00E9566B" w:rsidP="00E9566B">
      <w:pPr>
        <w:pStyle w:val="Geenafstand"/>
        <w:rPr>
          <w:sz w:val="18"/>
          <w:szCs w:val="18"/>
        </w:rPr>
      </w:pPr>
    </w:p>
    <w:p w14:paraId="61E4B6E4" w14:textId="77777777" w:rsidR="00E9566B" w:rsidRPr="00E74056" w:rsidRDefault="00E9566B" w:rsidP="00E9566B">
      <w:pPr>
        <w:pStyle w:val="Geenafstand"/>
        <w:rPr>
          <w:b/>
          <w:sz w:val="18"/>
          <w:szCs w:val="18"/>
        </w:rPr>
      </w:pPr>
      <w:r w:rsidRPr="00E74056">
        <w:rPr>
          <w:b/>
          <w:sz w:val="18"/>
          <w:szCs w:val="18"/>
        </w:rPr>
        <w:t>Wat is aantoonbaar</w:t>
      </w:r>
    </w:p>
    <w:p w14:paraId="1E4928D0" w14:textId="77777777" w:rsidR="00E9566B" w:rsidRPr="00E74056" w:rsidRDefault="00E9566B" w:rsidP="00E9566B">
      <w:pPr>
        <w:pStyle w:val="Geenafstand"/>
        <w:rPr>
          <w:sz w:val="18"/>
          <w:szCs w:val="18"/>
        </w:rPr>
      </w:pPr>
      <w:r w:rsidRPr="00E74056">
        <w:rPr>
          <w:sz w:val="18"/>
          <w:szCs w:val="18"/>
        </w:rPr>
        <w:t xml:space="preserve">Van de uitwisseling van informatie tussen Van Vuuren Elektrotechniek en </w:t>
      </w:r>
      <w:proofErr w:type="spellStart"/>
      <w:r w:rsidRPr="00E74056">
        <w:rPr>
          <w:sz w:val="18"/>
          <w:szCs w:val="18"/>
        </w:rPr>
        <w:t>Allego</w:t>
      </w:r>
      <w:proofErr w:type="spellEnd"/>
      <w:r w:rsidRPr="00E74056">
        <w:rPr>
          <w:sz w:val="18"/>
          <w:szCs w:val="18"/>
        </w:rPr>
        <w:t xml:space="preserve"> en tussen Van Vuuren en geïnteresseerde partijen zijn correspondentie en relevante documenten beschikbaar die in het betreffende projectdossier wordt bewaard.</w:t>
      </w:r>
    </w:p>
    <w:p w14:paraId="77AF812F" w14:textId="77777777" w:rsidR="00E9566B" w:rsidRPr="00572A76" w:rsidRDefault="00E9566B" w:rsidP="00E9566B">
      <w:pPr>
        <w:pStyle w:val="Lijst"/>
        <w:numPr>
          <w:ilvl w:val="0"/>
          <w:numId w:val="0"/>
        </w:numPr>
        <w:ind w:left="714"/>
        <w:rPr>
          <w:rFonts w:asciiTheme="minorHAnsi" w:hAnsiTheme="minorHAnsi" w:cstheme="minorHAnsi"/>
          <w:sz w:val="18"/>
          <w:szCs w:val="18"/>
        </w:rPr>
      </w:pPr>
    </w:p>
    <w:p w14:paraId="22FBEF2C" w14:textId="77777777" w:rsidR="00E9566B" w:rsidRDefault="00E9566B" w:rsidP="00A60CCF">
      <w:pPr>
        <w:pStyle w:val="Kop2"/>
        <w:numPr>
          <w:ilvl w:val="1"/>
          <w:numId w:val="14"/>
        </w:numPr>
        <w:rPr>
          <w:sz w:val="18"/>
          <w:szCs w:val="18"/>
        </w:rPr>
      </w:pPr>
      <w:bookmarkStart w:id="20" w:name="_Toc441580128"/>
      <w:bookmarkStart w:id="21" w:name="_Toc35288587"/>
      <w:r w:rsidRPr="00572A76">
        <w:rPr>
          <w:sz w:val="18"/>
          <w:szCs w:val="18"/>
        </w:rPr>
        <w:t>Lopende initiatieven</w:t>
      </w:r>
      <w:bookmarkEnd w:id="20"/>
      <w:bookmarkEnd w:id="21"/>
    </w:p>
    <w:p w14:paraId="361331A5" w14:textId="77777777" w:rsidR="00E9566B" w:rsidRDefault="00E9566B" w:rsidP="00E9566B">
      <w:pPr>
        <w:pStyle w:val="Geenafstand1"/>
        <w:numPr>
          <w:ilvl w:val="0"/>
          <w:numId w:val="4"/>
        </w:numPr>
        <w:rPr>
          <w:sz w:val="18"/>
          <w:szCs w:val="18"/>
        </w:rPr>
      </w:pPr>
      <w:bookmarkStart w:id="22" w:name="_Hlk508115607"/>
      <w:r>
        <w:rPr>
          <w:sz w:val="18"/>
          <w:szCs w:val="18"/>
        </w:rPr>
        <w:t>VVE is p</w:t>
      </w:r>
      <w:r w:rsidRPr="00763DA1">
        <w:rPr>
          <w:sz w:val="18"/>
          <w:szCs w:val="18"/>
        </w:rPr>
        <w:t>artner van de Circulaire weg.</w:t>
      </w:r>
    </w:p>
    <w:bookmarkEnd w:id="22"/>
    <w:p w14:paraId="1964456F" w14:textId="77777777" w:rsidR="00E9566B" w:rsidRPr="00763DA1" w:rsidRDefault="00E9566B" w:rsidP="00E9566B">
      <w:pPr>
        <w:pStyle w:val="Geenafstand1"/>
        <w:ind w:left="360"/>
        <w:rPr>
          <w:sz w:val="18"/>
          <w:szCs w:val="18"/>
        </w:rPr>
      </w:pPr>
    </w:p>
    <w:p w14:paraId="36C87988" w14:textId="184757D7" w:rsidR="00E9566B" w:rsidRPr="00763DA1" w:rsidRDefault="00106D41" w:rsidP="00E9566B">
      <w:pPr>
        <w:pStyle w:val="Geenafstand1"/>
        <w:rPr>
          <w:sz w:val="18"/>
          <w:szCs w:val="18"/>
        </w:rPr>
      </w:pPr>
      <w:r>
        <w:rPr>
          <w:sz w:val="18"/>
          <w:szCs w:val="18"/>
        </w:rPr>
        <w:t>W</w:t>
      </w:r>
      <w:r w:rsidR="00E9566B" w:rsidRPr="00763DA1">
        <w:rPr>
          <w:sz w:val="18"/>
          <w:szCs w:val="18"/>
        </w:rPr>
        <w:t>at onze activiteiten zijn m.b.t. de Circulaire Weg is niet zo even te omschrijven.</w:t>
      </w:r>
    </w:p>
    <w:p w14:paraId="43EB37D0" w14:textId="77777777" w:rsidR="00E9566B" w:rsidRDefault="00E9566B" w:rsidP="00E9566B">
      <w:pPr>
        <w:pStyle w:val="Geenafstand1"/>
        <w:jc w:val="both"/>
        <w:rPr>
          <w:sz w:val="18"/>
          <w:szCs w:val="18"/>
        </w:rPr>
      </w:pPr>
      <w:r w:rsidRPr="00763DA1">
        <w:rPr>
          <w:sz w:val="18"/>
          <w:szCs w:val="18"/>
        </w:rPr>
        <w:t xml:space="preserve">Sinds 2016 zijn wij als Van Vuuren bezig met meerdere partijen (leveranciers, opdrachtgevers en relaties) om installaties/projecten te ontwikkelen op het gebied van duurzaamheid, circulair en </w:t>
      </w:r>
      <w:proofErr w:type="spellStart"/>
      <w:r w:rsidRPr="00763DA1">
        <w:rPr>
          <w:sz w:val="18"/>
          <w:szCs w:val="18"/>
        </w:rPr>
        <w:t>biobased</w:t>
      </w:r>
      <w:proofErr w:type="spellEnd"/>
      <w:r w:rsidRPr="00763DA1">
        <w:rPr>
          <w:sz w:val="18"/>
          <w:szCs w:val="18"/>
        </w:rPr>
        <w:t>.</w:t>
      </w:r>
    </w:p>
    <w:p w14:paraId="31C9057F" w14:textId="77777777" w:rsidR="00E9566B" w:rsidRDefault="00E9566B" w:rsidP="00E9566B">
      <w:pPr>
        <w:pStyle w:val="Geenafstand1"/>
        <w:rPr>
          <w:b/>
          <w:sz w:val="18"/>
          <w:szCs w:val="18"/>
        </w:rPr>
      </w:pPr>
    </w:p>
    <w:p w14:paraId="07E4B84D" w14:textId="77777777" w:rsidR="00E9566B" w:rsidRPr="002F6753" w:rsidRDefault="00E9566B" w:rsidP="00E9566B">
      <w:pPr>
        <w:pStyle w:val="Geenafstand1"/>
        <w:rPr>
          <w:b/>
          <w:sz w:val="18"/>
          <w:szCs w:val="18"/>
        </w:rPr>
      </w:pPr>
      <w:proofErr w:type="spellStart"/>
      <w:r w:rsidRPr="002F6753">
        <w:rPr>
          <w:b/>
          <w:sz w:val="18"/>
          <w:szCs w:val="18"/>
        </w:rPr>
        <w:t>Biobased</w:t>
      </w:r>
      <w:proofErr w:type="spellEnd"/>
      <w:r w:rsidRPr="002F6753">
        <w:rPr>
          <w:b/>
          <w:sz w:val="18"/>
          <w:szCs w:val="18"/>
        </w:rPr>
        <w:t xml:space="preserve"> proeftuin op N231</w:t>
      </w:r>
    </w:p>
    <w:p w14:paraId="6C7F094F" w14:textId="317A7B33" w:rsidR="00E9566B" w:rsidRDefault="00E9566B" w:rsidP="00E9566B">
      <w:pPr>
        <w:pStyle w:val="Geenafstand1"/>
        <w:jc w:val="both"/>
        <w:rPr>
          <w:sz w:val="18"/>
          <w:szCs w:val="18"/>
        </w:rPr>
      </w:pPr>
      <w:r w:rsidRPr="002F6753">
        <w:rPr>
          <w:sz w:val="18"/>
          <w:szCs w:val="18"/>
        </w:rPr>
        <w:t xml:space="preserve">Woensdag 13 februari </w:t>
      </w:r>
      <w:r w:rsidR="00106D41">
        <w:rPr>
          <w:sz w:val="18"/>
          <w:szCs w:val="18"/>
        </w:rPr>
        <w:t xml:space="preserve">2020 </w:t>
      </w:r>
      <w:r w:rsidRPr="002F6753">
        <w:rPr>
          <w:sz w:val="18"/>
          <w:szCs w:val="18"/>
        </w:rPr>
        <w:t xml:space="preserve">vond de feestelijke start plaats van het groot onderhoud aan de N231. Onderdeel van deze opdracht is de aanleg van een </w:t>
      </w:r>
      <w:proofErr w:type="spellStart"/>
      <w:r w:rsidRPr="002F6753">
        <w:rPr>
          <w:sz w:val="18"/>
          <w:szCs w:val="18"/>
        </w:rPr>
        <w:t>biobased</w:t>
      </w:r>
      <w:proofErr w:type="spellEnd"/>
      <w:r w:rsidRPr="002F6753">
        <w:rPr>
          <w:sz w:val="18"/>
          <w:szCs w:val="18"/>
        </w:rPr>
        <w:t xml:space="preserve"> proeftuin van 850 meter op het deeltraject N231b. Hoofdaannemer Dura Vermeer Infra Regionale Projecten B.V. werkt hierbij met samenwerkingspartners Van Vuuren Elektrotechniek, Natural Plastics en Bio </w:t>
      </w:r>
      <w:proofErr w:type="spellStart"/>
      <w:r w:rsidRPr="002F6753">
        <w:rPr>
          <w:sz w:val="18"/>
          <w:szCs w:val="18"/>
        </w:rPr>
        <w:t>Bound</w:t>
      </w:r>
      <w:proofErr w:type="spellEnd"/>
      <w:r w:rsidRPr="002F6753">
        <w:rPr>
          <w:sz w:val="18"/>
          <w:szCs w:val="18"/>
        </w:rPr>
        <w:t>.</w:t>
      </w:r>
    </w:p>
    <w:p w14:paraId="60950366" w14:textId="77777777" w:rsidR="00E9566B" w:rsidRDefault="00E9566B" w:rsidP="00E9566B">
      <w:pPr>
        <w:pStyle w:val="Geenafstand1"/>
        <w:rPr>
          <w:sz w:val="18"/>
          <w:szCs w:val="18"/>
        </w:rPr>
      </w:pPr>
    </w:p>
    <w:p w14:paraId="4FB048E1" w14:textId="77777777" w:rsidR="00E9566B" w:rsidRPr="006E4F40" w:rsidRDefault="00E9566B" w:rsidP="00E9566B">
      <w:pPr>
        <w:pStyle w:val="Geenafstand"/>
        <w:numPr>
          <w:ilvl w:val="0"/>
          <w:numId w:val="4"/>
        </w:numPr>
        <w:rPr>
          <w:sz w:val="18"/>
          <w:szCs w:val="18"/>
        </w:rPr>
      </w:pPr>
      <w:r w:rsidRPr="006E4F40">
        <w:rPr>
          <w:sz w:val="18"/>
          <w:szCs w:val="18"/>
        </w:rPr>
        <w:t xml:space="preserve">CO2 een terugkerende onderwerpen met betrekking tot CO2 reductie, Stikstof en </w:t>
      </w:r>
      <w:proofErr w:type="spellStart"/>
      <w:r w:rsidRPr="006E4F40">
        <w:rPr>
          <w:sz w:val="18"/>
          <w:szCs w:val="18"/>
        </w:rPr>
        <w:t>Pfas</w:t>
      </w:r>
      <w:proofErr w:type="spellEnd"/>
      <w:r w:rsidRPr="006E4F40">
        <w:rPr>
          <w:sz w:val="18"/>
          <w:szCs w:val="18"/>
        </w:rPr>
        <w:t>!</w:t>
      </w:r>
    </w:p>
    <w:p w14:paraId="38E8BE00" w14:textId="77777777" w:rsidR="00E9566B" w:rsidRPr="006E4F40" w:rsidRDefault="00E9566B" w:rsidP="00E9566B">
      <w:pPr>
        <w:pStyle w:val="Geenafstand"/>
        <w:rPr>
          <w:sz w:val="18"/>
          <w:szCs w:val="18"/>
        </w:rPr>
      </w:pPr>
    </w:p>
    <w:p w14:paraId="53CDCCCE" w14:textId="77777777" w:rsidR="00E9566B" w:rsidRPr="006E4F40" w:rsidRDefault="00E9566B" w:rsidP="00E9566B">
      <w:pPr>
        <w:pStyle w:val="Geenafstand"/>
        <w:rPr>
          <w:b/>
          <w:bCs/>
          <w:sz w:val="18"/>
          <w:szCs w:val="18"/>
        </w:rPr>
      </w:pPr>
      <w:r w:rsidRPr="006E4F40">
        <w:rPr>
          <w:b/>
          <w:bCs/>
          <w:sz w:val="18"/>
          <w:szCs w:val="18"/>
        </w:rPr>
        <w:t>Tender Gem. Zaanstad / Marktconsultatie</w:t>
      </w:r>
    </w:p>
    <w:p w14:paraId="1936EDA1" w14:textId="77777777" w:rsidR="00E9566B" w:rsidRPr="006E4F40" w:rsidRDefault="00E9566B" w:rsidP="00E9566B">
      <w:pPr>
        <w:pStyle w:val="Geenafstand"/>
        <w:jc w:val="both"/>
        <w:rPr>
          <w:sz w:val="18"/>
          <w:szCs w:val="18"/>
        </w:rPr>
      </w:pPr>
      <w:r w:rsidRPr="006E4F40">
        <w:rPr>
          <w:sz w:val="18"/>
          <w:szCs w:val="18"/>
        </w:rPr>
        <w:t xml:space="preserve">De directie van </w:t>
      </w:r>
      <w:proofErr w:type="spellStart"/>
      <w:r w:rsidRPr="006E4F40">
        <w:rPr>
          <w:sz w:val="18"/>
          <w:szCs w:val="18"/>
        </w:rPr>
        <w:t>Van</w:t>
      </w:r>
      <w:proofErr w:type="spellEnd"/>
      <w:r w:rsidRPr="006E4F40">
        <w:rPr>
          <w:sz w:val="18"/>
          <w:szCs w:val="18"/>
        </w:rPr>
        <w:t xml:space="preserve"> Vuuren heeft daarnaast meegedaan in de marktconsultatie / Tender Gem. Zaanstad Prestatiecontract Onderhoud en Beheer OV en VRI waarbij de uitvraag de CO2 vereiste de hoogste prioriteit had. Hierover zijn meerdere besprekingen met de vertegenwoordigers Gemeente Zaanstad geweest (Aanbestedingscommissie, Inkoop en Uitvoering) </w:t>
      </w:r>
    </w:p>
    <w:p w14:paraId="6B46F774" w14:textId="77777777" w:rsidR="00E9566B" w:rsidRPr="006E4F40" w:rsidRDefault="00E9566B" w:rsidP="00E9566B">
      <w:pPr>
        <w:pStyle w:val="Geenafstand"/>
        <w:rPr>
          <w:sz w:val="18"/>
          <w:szCs w:val="18"/>
        </w:rPr>
      </w:pPr>
    </w:p>
    <w:p w14:paraId="1C8FFF4D" w14:textId="4A786573" w:rsidR="00E9566B" w:rsidRPr="006E4F40" w:rsidRDefault="00E9566B" w:rsidP="00E9566B">
      <w:pPr>
        <w:pStyle w:val="Geenafstand"/>
        <w:rPr>
          <w:b/>
          <w:bCs/>
          <w:sz w:val="18"/>
          <w:szCs w:val="18"/>
        </w:rPr>
      </w:pPr>
      <w:r w:rsidRPr="006E4F40">
        <w:rPr>
          <w:b/>
          <w:bCs/>
          <w:sz w:val="18"/>
          <w:szCs w:val="18"/>
        </w:rPr>
        <w:t>T</w:t>
      </w:r>
      <w:r w:rsidR="00106D41">
        <w:rPr>
          <w:b/>
          <w:bCs/>
          <w:sz w:val="18"/>
          <w:szCs w:val="18"/>
        </w:rPr>
        <w:t>SEC</w:t>
      </w:r>
      <w:r w:rsidRPr="006E4F40">
        <w:rPr>
          <w:b/>
          <w:bCs/>
          <w:sz w:val="18"/>
          <w:szCs w:val="18"/>
        </w:rPr>
        <w:t xml:space="preserve"> / TF schakeling OV </w:t>
      </w:r>
    </w:p>
    <w:p w14:paraId="5B41DEA6" w14:textId="77777777" w:rsidR="00E9566B" w:rsidRPr="006E4F40" w:rsidRDefault="00E9566B" w:rsidP="00E9566B">
      <w:pPr>
        <w:pStyle w:val="Geenafstand"/>
        <w:jc w:val="both"/>
        <w:rPr>
          <w:sz w:val="18"/>
          <w:szCs w:val="18"/>
        </w:rPr>
      </w:pPr>
      <w:r w:rsidRPr="006E4F40">
        <w:rPr>
          <w:sz w:val="18"/>
          <w:szCs w:val="18"/>
        </w:rPr>
        <w:t xml:space="preserve">Het ontwikkelingen van de standaard functionaliteit voor het vervangen van het TF relais (Energie/netbedrijven), waarbij het schakelingen van de OV </w:t>
      </w:r>
      <w:proofErr w:type="spellStart"/>
      <w:r w:rsidRPr="006E4F40">
        <w:rPr>
          <w:sz w:val="18"/>
          <w:szCs w:val="18"/>
        </w:rPr>
        <w:t>just</w:t>
      </w:r>
      <w:proofErr w:type="spellEnd"/>
      <w:r w:rsidRPr="006E4F40">
        <w:rPr>
          <w:sz w:val="18"/>
          <w:szCs w:val="18"/>
        </w:rPr>
        <w:t xml:space="preserve"> in time gebeurd en daardoor energie bespaard wordt. </w:t>
      </w:r>
      <w:bookmarkStart w:id="23" w:name="_GoBack"/>
      <w:bookmarkEnd w:id="23"/>
    </w:p>
    <w:p w14:paraId="0907708F" w14:textId="77777777" w:rsidR="00E9566B" w:rsidRPr="006E4F40" w:rsidRDefault="00E9566B" w:rsidP="00E9566B">
      <w:pPr>
        <w:pStyle w:val="Geenafstand"/>
        <w:rPr>
          <w:sz w:val="18"/>
          <w:szCs w:val="18"/>
        </w:rPr>
      </w:pPr>
      <w:r w:rsidRPr="006E4F40">
        <w:rPr>
          <w:sz w:val="18"/>
          <w:szCs w:val="18"/>
        </w:rPr>
        <w:t xml:space="preserve">Deze in- en uitschakeling wordt dagelijks aangestuurd door de Netbedrijven en zal medio Q2 2021 (was Q2 2020) </w:t>
      </w:r>
      <w:proofErr w:type="spellStart"/>
      <w:r w:rsidRPr="006E4F40">
        <w:rPr>
          <w:sz w:val="18"/>
          <w:szCs w:val="18"/>
        </w:rPr>
        <w:t>ivm</w:t>
      </w:r>
      <w:proofErr w:type="spellEnd"/>
      <w:r w:rsidRPr="006E4F40">
        <w:rPr>
          <w:sz w:val="18"/>
          <w:szCs w:val="18"/>
        </w:rPr>
        <w:t>. einde levensduur worden stopgezet.</w:t>
      </w:r>
    </w:p>
    <w:p w14:paraId="7D75C0CA" w14:textId="77777777" w:rsidR="00E9566B" w:rsidRPr="006E4F40" w:rsidRDefault="00E9566B" w:rsidP="00E9566B">
      <w:pPr>
        <w:pStyle w:val="Geenafstand"/>
        <w:jc w:val="both"/>
        <w:rPr>
          <w:sz w:val="18"/>
          <w:szCs w:val="18"/>
        </w:rPr>
      </w:pPr>
      <w:r w:rsidRPr="006E4F40">
        <w:rPr>
          <w:sz w:val="18"/>
          <w:szCs w:val="18"/>
        </w:rPr>
        <w:t xml:space="preserve">Deze module hebben wij samen met onze partner </w:t>
      </w:r>
      <w:proofErr w:type="spellStart"/>
      <w:r w:rsidRPr="006E4F40">
        <w:rPr>
          <w:sz w:val="18"/>
          <w:szCs w:val="18"/>
        </w:rPr>
        <w:t>Telesignal</w:t>
      </w:r>
      <w:proofErr w:type="spellEnd"/>
      <w:r w:rsidRPr="006E4F40">
        <w:rPr>
          <w:sz w:val="18"/>
          <w:szCs w:val="18"/>
        </w:rPr>
        <w:t xml:space="preserve"> uit Veenendaal ontwikkelt en wordt sinds Q3 2019 in Nederland bij vele Gemeenten uitgerold.</w:t>
      </w:r>
    </w:p>
    <w:p w14:paraId="2971F0FB" w14:textId="77777777" w:rsidR="00235766" w:rsidRPr="00A60CCF" w:rsidRDefault="00E9566B" w:rsidP="00A60CCF">
      <w:pPr>
        <w:pStyle w:val="Geenafstand"/>
        <w:jc w:val="both"/>
        <w:rPr>
          <w:sz w:val="18"/>
          <w:szCs w:val="18"/>
        </w:rPr>
      </w:pPr>
      <w:r w:rsidRPr="006E4F40">
        <w:rPr>
          <w:sz w:val="18"/>
          <w:szCs w:val="18"/>
        </w:rPr>
        <w:t>In februari 2019 heeft Van Vuuren hiervoor een seminar georganiseerd in het AZ stadion Alkmaar waarbij ruim 60 opdrachtgevers van Gemeenten, Provincie NH en Rijkswaterstaat aanwezig waren.</w:t>
      </w:r>
    </w:p>
    <w:p w14:paraId="1336A0BB" w14:textId="77777777" w:rsidR="00A60CCF" w:rsidRPr="00100514" w:rsidRDefault="00A60CCF" w:rsidP="00A60CCF">
      <w:pPr>
        <w:pStyle w:val="Kop1"/>
        <w:numPr>
          <w:ilvl w:val="0"/>
          <w:numId w:val="10"/>
        </w:numPr>
        <w:rPr>
          <w:rFonts w:asciiTheme="minorHAnsi" w:hAnsiTheme="minorHAnsi"/>
          <w:color w:val="auto"/>
        </w:rPr>
      </w:pPr>
      <w:bookmarkStart w:id="24" w:name="_Toc508867687"/>
      <w:r w:rsidRPr="00100514">
        <w:rPr>
          <w:rFonts w:asciiTheme="minorHAnsi" w:hAnsiTheme="minorHAnsi"/>
          <w:color w:val="auto"/>
        </w:rPr>
        <w:t>Communicatie</w:t>
      </w:r>
      <w:bookmarkEnd w:id="24"/>
    </w:p>
    <w:p w14:paraId="31C0EDB7" w14:textId="77777777" w:rsidR="00A60CCF" w:rsidRPr="00100514" w:rsidRDefault="00A60CCF" w:rsidP="00A60CCF">
      <w:pPr>
        <w:pStyle w:val="Geenafstand1"/>
        <w:rPr>
          <w:rFonts w:asciiTheme="minorHAnsi" w:hAnsiTheme="minorHAnsi" w:cstheme="minorHAnsi"/>
          <w:sz w:val="18"/>
          <w:szCs w:val="18"/>
        </w:rPr>
      </w:pPr>
      <w:r w:rsidRPr="00100514">
        <w:rPr>
          <w:rFonts w:asciiTheme="minorHAnsi" w:hAnsiTheme="minorHAnsi" w:cstheme="minorHAnsi"/>
          <w:sz w:val="18"/>
          <w:szCs w:val="18"/>
        </w:rPr>
        <w:t>Om te zorgen dat alle communicatie op tijd en volgens afspraak wordt uitgevoerd is een planning voor de communicatie opgesteld.</w:t>
      </w:r>
    </w:p>
    <w:p w14:paraId="516C5FC5" w14:textId="77777777" w:rsidR="00A60CCF" w:rsidRPr="00E036B8" w:rsidRDefault="00A60CCF" w:rsidP="00A60CCF">
      <w:pPr>
        <w:pStyle w:val="Geenafstand1"/>
        <w:rPr>
          <w:rFonts w:asciiTheme="minorHAnsi" w:hAnsiTheme="minorHAnsi" w:cstheme="minorHAnsi"/>
          <w:b/>
          <w:sz w:val="20"/>
          <w:szCs w:val="20"/>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817"/>
        <w:gridCol w:w="1559"/>
        <w:gridCol w:w="2977"/>
        <w:gridCol w:w="992"/>
        <w:gridCol w:w="1134"/>
        <w:gridCol w:w="1701"/>
      </w:tblGrid>
      <w:tr w:rsidR="00A60CCF" w:rsidRPr="00E036B8" w14:paraId="069C5AAD" w14:textId="77777777" w:rsidTr="00B74ED9">
        <w:tc>
          <w:tcPr>
            <w:tcW w:w="817" w:type="dxa"/>
            <w:shd w:val="clear" w:color="auto" w:fill="D9D9D9" w:themeFill="background1" w:themeFillShade="D9"/>
            <w:vAlign w:val="center"/>
          </w:tcPr>
          <w:p w14:paraId="45A2DDAF" w14:textId="77777777" w:rsidR="00A60CCF" w:rsidRPr="00100514" w:rsidRDefault="00A60CCF" w:rsidP="00B74ED9">
            <w:pPr>
              <w:pStyle w:val="TableContents"/>
              <w:contextualSpacing/>
              <w:jc w:val="center"/>
              <w:rPr>
                <w:rFonts w:asciiTheme="minorHAnsi" w:hAnsiTheme="minorHAnsi" w:cstheme="minorHAnsi"/>
                <w:b/>
                <w:sz w:val="18"/>
                <w:szCs w:val="18"/>
              </w:rPr>
            </w:pPr>
          </w:p>
        </w:tc>
        <w:tc>
          <w:tcPr>
            <w:tcW w:w="1559" w:type="dxa"/>
            <w:shd w:val="clear" w:color="auto" w:fill="D9D9D9" w:themeFill="background1" w:themeFillShade="D9"/>
            <w:vAlign w:val="center"/>
          </w:tcPr>
          <w:p w14:paraId="141F699B" w14:textId="77777777" w:rsidR="00A60CCF" w:rsidRPr="00100514" w:rsidRDefault="00A60CCF" w:rsidP="00B74ED9">
            <w:pPr>
              <w:pStyle w:val="TableContents"/>
              <w:contextualSpacing/>
              <w:rPr>
                <w:rFonts w:asciiTheme="minorHAnsi" w:hAnsiTheme="minorHAnsi" w:cstheme="minorHAnsi"/>
                <w:b/>
                <w:sz w:val="18"/>
                <w:szCs w:val="18"/>
              </w:rPr>
            </w:pPr>
            <w:r w:rsidRPr="00100514">
              <w:rPr>
                <w:rFonts w:asciiTheme="minorHAnsi" w:hAnsiTheme="minorHAnsi" w:cstheme="minorHAnsi"/>
                <w:b/>
                <w:sz w:val="18"/>
                <w:szCs w:val="18"/>
              </w:rPr>
              <w:t>Doelgroep</w:t>
            </w:r>
          </w:p>
        </w:tc>
        <w:tc>
          <w:tcPr>
            <w:tcW w:w="2977" w:type="dxa"/>
            <w:shd w:val="clear" w:color="auto" w:fill="D9D9D9" w:themeFill="background1" w:themeFillShade="D9"/>
            <w:vAlign w:val="center"/>
          </w:tcPr>
          <w:p w14:paraId="1423096C" w14:textId="77777777" w:rsidR="00A60CCF" w:rsidRPr="00100514" w:rsidRDefault="00A60CCF" w:rsidP="00B74ED9">
            <w:pPr>
              <w:pStyle w:val="TableContents"/>
              <w:contextualSpacing/>
              <w:rPr>
                <w:rFonts w:asciiTheme="minorHAnsi" w:hAnsiTheme="minorHAnsi" w:cstheme="minorHAnsi"/>
                <w:b/>
                <w:sz w:val="18"/>
                <w:szCs w:val="18"/>
              </w:rPr>
            </w:pPr>
            <w:r w:rsidRPr="00100514">
              <w:rPr>
                <w:rFonts w:asciiTheme="minorHAnsi" w:hAnsiTheme="minorHAnsi" w:cstheme="minorHAnsi"/>
                <w:b/>
                <w:sz w:val="18"/>
                <w:szCs w:val="18"/>
              </w:rPr>
              <w:t>Boodschap</w:t>
            </w:r>
          </w:p>
        </w:tc>
        <w:tc>
          <w:tcPr>
            <w:tcW w:w="992" w:type="dxa"/>
            <w:shd w:val="clear" w:color="auto" w:fill="D9D9D9" w:themeFill="background1" w:themeFillShade="D9"/>
            <w:vAlign w:val="center"/>
          </w:tcPr>
          <w:p w14:paraId="1F2D2ADC" w14:textId="77777777" w:rsidR="00A60CCF" w:rsidRPr="00100514" w:rsidRDefault="00A60CCF" w:rsidP="00B74ED9">
            <w:pPr>
              <w:pStyle w:val="TableContents"/>
              <w:contextualSpacing/>
              <w:rPr>
                <w:rFonts w:asciiTheme="minorHAnsi" w:hAnsiTheme="minorHAnsi" w:cstheme="minorHAnsi"/>
                <w:b/>
                <w:sz w:val="18"/>
                <w:szCs w:val="18"/>
              </w:rPr>
            </w:pPr>
            <w:r w:rsidRPr="00100514">
              <w:rPr>
                <w:rFonts w:asciiTheme="minorHAnsi" w:hAnsiTheme="minorHAnsi" w:cstheme="minorHAnsi"/>
                <w:b/>
                <w:sz w:val="18"/>
                <w:szCs w:val="18"/>
              </w:rPr>
              <w:t>Middel</w:t>
            </w:r>
          </w:p>
        </w:tc>
        <w:tc>
          <w:tcPr>
            <w:tcW w:w="1134" w:type="dxa"/>
            <w:shd w:val="clear" w:color="auto" w:fill="D9D9D9" w:themeFill="background1" w:themeFillShade="D9"/>
            <w:vAlign w:val="center"/>
          </w:tcPr>
          <w:p w14:paraId="22D1FD5C" w14:textId="77777777" w:rsidR="00A60CCF" w:rsidRPr="00100514" w:rsidRDefault="00A60CCF" w:rsidP="00B74ED9">
            <w:pPr>
              <w:pStyle w:val="TableContents"/>
              <w:contextualSpacing/>
              <w:rPr>
                <w:rFonts w:asciiTheme="minorHAnsi" w:hAnsiTheme="minorHAnsi" w:cstheme="minorHAnsi"/>
                <w:b/>
                <w:sz w:val="18"/>
                <w:szCs w:val="18"/>
              </w:rPr>
            </w:pPr>
            <w:r w:rsidRPr="00100514">
              <w:rPr>
                <w:rFonts w:asciiTheme="minorHAnsi" w:hAnsiTheme="minorHAnsi" w:cstheme="minorHAnsi"/>
                <w:b/>
                <w:sz w:val="18"/>
                <w:szCs w:val="18"/>
              </w:rPr>
              <w:t>Frequentie</w:t>
            </w:r>
          </w:p>
        </w:tc>
        <w:tc>
          <w:tcPr>
            <w:tcW w:w="1701" w:type="dxa"/>
            <w:shd w:val="clear" w:color="auto" w:fill="D9D9D9" w:themeFill="background1" w:themeFillShade="D9"/>
            <w:vAlign w:val="center"/>
          </w:tcPr>
          <w:p w14:paraId="6CF1782D" w14:textId="77777777" w:rsidR="00A60CCF" w:rsidRPr="00100514" w:rsidRDefault="00A60CCF" w:rsidP="00B74ED9">
            <w:pPr>
              <w:pStyle w:val="TableContents"/>
              <w:contextualSpacing/>
              <w:rPr>
                <w:rFonts w:asciiTheme="minorHAnsi" w:hAnsiTheme="minorHAnsi" w:cstheme="minorHAnsi"/>
                <w:b/>
                <w:sz w:val="18"/>
                <w:szCs w:val="18"/>
              </w:rPr>
            </w:pPr>
            <w:r w:rsidRPr="00100514">
              <w:rPr>
                <w:rFonts w:asciiTheme="minorHAnsi" w:hAnsiTheme="minorHAnsi" w:cstheme="minorHAnsi"/>
                <w:b/>
                <w:sz w:val="18"/>
                <w:szCs w:val="18"/>
              </w:rPr>
              <w:t>Verantwoordelijke</w:t>
            </w:r>
          </w:p>
        </w:tc>
      </w:tr>
      <w:tr w:rsidR="00A60CCF" w:rsidRPr="00E036B8" w14:paraId="18CCC142" w14:textId="77777777" w:rsidTr="00B74ED9">
        <w:tc>
          <w:tcPr>
            <w:tcW w:w="817" w:type="dxa"/>
            <w:vMerge w:val="restart"/>
            <w:shd w:val="clear" w:color="auto" w:fill="D9D9D9" w:themeFill="background1" w:themeFillShade="D9"/>
            <w:vAlign w:val="center"/>
          </w:tcPr>
          <w:p w14:paraId="374F49EF" w14:textId="77777777" w:rsidR="00A60CCF" w:rsidRPr="00100514" w:rsidRDefault="00A60CCF" w:rsidP="00B74ED9">
            <w:pPr>
              <w:pStyle w:val="TableContents"/>
              <w:contextualSpacing/>
              <w:jc w:val="center"/>
              <w:rPr>
                <w:rFonts w:asciiTheme="minorHAnsi" w:hAnsiTheme="minorHAnsi" w:cstheme="minorHAnsi"/>
                <w:b/>
                <w:sz w:val="18"/>
                <w:szCs w:val="18"/>
              </w:rPr>
            </w:pPr>
            <w:r w:rsidRPr="00100514">
              <w:rPr>
                <w:rFonts w:asciiTheme="minorHAnsi" w:hAnsiTheme="minorHAnsi" w:cstheme="minorHAnsi"/>
                <w:b/>
                <w:sz w:val="18"/>
                <w:szCs w:val="18"/>
              </w:rPr>
              <w:t>Intern</w:t>
            </w:r>
          </w:p>
        </w:tc>
        <w:tc>
          <w:tcPr>
            <w:tcW w:w="1559" w:type="dxa"/>
            <w:vAlign w:val="center"/>
          </w:tcPr>
          <w:p w14:paraId="77D41A4E"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Medewerkers</w:t>
            </w:r>
          </w:p>
        </w:tc>
        <w:tc>
          <w:tcPr>
            <w:tcW w:w="2977" w:type="dxa"/>
            <w:vAlign w:val="center"/>
          </w:tcPr>
          <w:p w14:paraId="1F02234A"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Het energiebeleid, doelstellingen, maatregelen, Projecten met gunningsvoordeel, Individuele bijdragen van medewerkers</w:t>
            </w:r>
          </w:p>
        </w:tc>
        <w:tc>
          <w:tcPr>
            <w:tcW w:w="992" w:type="dxa"/>
            <w:vAlign w:val="center"/>
          </w:tcPr>
          <w:p w14:paraId="30109896"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Toolbox en/of Vuurpijltje</w:t>
            </w:r>
          </w:p>
        </w:tc>
        <w:tc>
          <w:tcPr>
            <w:tcW w:w="1134" w:type="dxa"/>
            <w:vAlign w:val="center"/>
          </w:tcPr>
          <w:p w14:paraId="07BA9002"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Half- jaarlijks</w:t>
            </w:r>
          </w:p>
        </w:tc>
        <w:tc>
          <w:tcPr>
            <w:tcW w:w="1701" w:type="dxa"/>
            <w:vAlign w:val="center"/>
          </w:tcPr>
          <w:p w14:paraId="1B334437"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KAM-coördinator</w:t>
            </w:r>
          </w:p>
        </w:tc>
      </w:tr>
      <w:tr w:rsidR="00A60CCF" w:rsidRPr="00E036B8" w14:paraId="3D84A3B9" w14:textId="77777777" w:rsidTr="00B74ED9">
        <w:tc>
          <w:tcPr>
            <w:tcW w:w="817" w:type="dxa"/>
            <w:vMerge/>
            <w:shd w:val="clear" w:color="auto" w:fill="D9D9D9" w:themeFill="background1" w:themeFillShade="D9"/>
            <w:vAlign w:val="center"/>
          </w:tcPr>
          <w:p w14:paraId="021EBB33" w14:textId="77777777" w:rsidR="00A60CCF" w:rsidRPr="00100514" w:rsidRDefault="00A60CCF" w:rsidP="00B74ED9">
            <w:pPr>
              <w:pStyle w:val="TableContents"/>
              <w:contextualSpacing/>
              <w:jc w:val="center"/>
              <w:rPr>
                <w:rFonts w:asciiTheme="minorHAnsi" w:hAnsiTheme="minorHAnsi" w:cstheme="minorHAnsi"/>
                <w:b/>
                <w:sz w:val="18"/>
                <w:szCs w:val="18"/>
              </w:rPr>
            </w:pPr>
          </w:p>
        </w:tc>
        <w:tc>
          <w:tcPr>
            <w:tcW w:w="1559" w:type="dxa"/>
            <w:vAlign w:val="center"/>
          </w:tcPr>
          <w:p w14:paraId="70004C2C"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Medewerkers</w:t>
            </w:r>
          </w:p>
        </w:tc>
        <w:tc>
          <w:tcPr>
            <w:tcW w:w="2977" w:type="dxa"/>
            <w:vAlign w:val="center"/>
          </w:tcPr>
          <w:p w14:paraId="56771A1D" w14:textId="77777777" w:rsidR="00A60CCF" w:rsidRPr="00100514" w:rsidRDefault="00A60CCF" w:rsidP="00B74ED9">
            <w:pPr>
              <w:pStyle w:val="TableContents"/>
              <w:contextualSpacing/>
              <w:rPr>
                <w:rFonts w:asciiTheme="minorHAnsi" w:hAnsiTheme="minorHAnsi" w:cstheme="minorHAnsi"/>
                <w:iCs/>
                <w:sz w:val="18"/>
                <w:szCs w:val="18"/>
              </w:rPr>
            </w:pPr>
            <w:r w:rsidRPr="00100514">
              <w:rPr>
                <w:rFonts w:asciiTheme="minorHAnsi" w:hAnsiTheme="minorHAnsi" w:cstheme="minorHAnsi"/>
                <w:iCs/>
                <w:sz w:val="18"/>
                <w:szCs w:val="18"/>
              </w:rPr>
              <w:t>Het huidige energiegebruik en trends binnen het bedrijf, de behaalde besparingen in CO2-uitstoot</w:t>
            </w:r>
          </w:p>
        </w:tc>
        <w:tc>
          <w:tcPr>
            <w:tcW w:w="992" w:type="dxa"/>
            <w:vAlign w:val="center"/>
          </w:tcPr>
          <w:p w14:paraId="3231AB1E"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Toolbox en/of Vuurpijltje</w:t>
            </w:r>
          </w:p>
        </w:tc>
        <w:tc>
          <w:tcPr>
            <w:tcW w:w="1134" w:type="dxa"/>
            <w:vAlign w:val="center"/>
          </w:tcPr>
          <w:p w14:paraId="367E7CE9"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Half- jaarlijks</w:t>
            </w:r>
          </w:p>
        </w:tc>
        <w:tc>
          <w:tcPr>
            <w:tcW w:w="1701" w:type="dxa"/>
            <w:vAlign w:val="center"/>
          </w:tcPr>
          <w:p w14:paraId="2D8AB669"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KAM-coördinator</w:t>
            </w:r>
          </w:p>
        </w:tc>
      </w:tr>
      <w:tr w:rsidR="00A60CCF" w:rsidRPr="00E036B8" w14:paraId="0639CBDC" w14:textId="77777777" w:rsidTr="00B74ED9">
        <w:tc>
          <w:tcPr>
            <w:tcW w:w="817" w:type="dxa"/>
            <w:vMerge w:val="restart"/>
            <w:shd w:val="clear" w:color="auto" w:fill="D9D9D9" w:themeFill="background1" w:themeFillShade="D9"/>
            <w:vAlign w:val="center"/>
          </w:tcPr>
          <w:p w14:paraId="2489D849" w14:textId="77777777" w:rsidR="00A60CCF" w:rsidRPr="00100514" w:rsidRDefault="00A60CCF" w:rsidP="00B74ED9">
            <w:pPr>
              <w:pStyle w:val="TableContents"/>
              <w:contextualSpacing/>
              <w:jc w:val="center"/>
              <w:rPr>
                <w:rFonts w:asciiTheme="minorHAnsi" w:hAnsiTheme="minorHAnsi" w:cstheme="minorHAnsi"/>
                <w:b/>
                <w:sz w:val="18"/>
                <w:szCs w:val="18"/>
              </w:rPr>
            </w:pPr>
            <w:r w:rsidRPr="00100514">
              <w:rPr>
                <w:rFonts w:asciiTheme="minorHAnsi" w:hAnsiTheme="minorHAnsi" w:cstheme="minorHAnsi"/>
                <w:b/>
                <w:sz w:val="18"/>
                <w:szCs w:val="18"/>
              </w:rPr>
              <w:t>Extern</w:t>
            </w:r>
          </w:p>
          <w:p w14:paraId="573B2775" w14:textId="77777777" w:rsidR="00A60CCF" w:rsidRPr="00100514" w:rsidRDefault="00A60CCF" w:rsidP="00B74ED9">
            <w:pPr>
              <w:pStyle w:val="TableContents"/>
              <w:contextualSpacing/>
              <w:jc w:val="center"/>
              <w:rPr>
                <w:rFonts w:asciiTheme="minorHAnsi" w:hAnsiTheme="minorHAnsi" w:cstheme="minorHAnsi"/>
                <w:b/>
                <w:sz w:val="18"/>
                <w:szCs w:val="18"/>
              </w:rPr>
            </w:pPr>
          </w:p>
        </w:tc>
        <w:tc>
          <w:tcPr>
            <w:tcW w:w="1559" w:type="dxa"/>
            <w:vAlign w:val="center"/>
          </w:tcPr>
          <w:p w14:paraId="1365A386"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 xml:space="preserve">Opdrachtgevers, leveranciers </w:t>
            </w:r>
          </w:p>
        </w:tc>
        <w:tc>
          <w:tcPr>
            <w:tcW w:w="2977" w:type="dxa"/>
            <w:vAlign w:val="center"/>
          </w:tcPr>
          <w:p w14:paraId="3D3F145C"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Het energiebeleid, maatregelen, projecten met gunningsvoordeel, Individuele bijdragen van medewerkers</w:t>
            </w:r>
          </w:p>
        </w:tc>
        <w:tc>
          <w:tcPr>
            <w:tcW w:w="992" w:type="dxa"/>
            <w:vAlign w:val="center"/>
          </w:tcPr>
          <w:p w14:paraId="37FCEE9B"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Website</w:t>
            </w:r>
          </w:p>
        </w:tc>
        <w:tc>
          <w:tcPr>
            <w:tcW w:w="1134" w:type="dxa"/>
            <w:vAlign w:val="center"/>
          </w:tcPr>
          <w:p w14:paraId="7D5A7A56"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Half- jaarlijks</w:t>
            </w:r>
          </w:p>
        </w:tc>
        <w:tc>
          <w:tcPr>
            <w:tcW w:w="1701" w:type="dxa"/>
            <w:vAlign w:val="center"/>
          </w:tcPr>
          <w:p w14:paraId="131420C4"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KAM-coördinator</w:t>
            </w:r>
          </w:p>
        </w:tc>
      </w:tr>
      <w:tr w:rsidR="00A60CCF" w:rsidRPr="00E036B8" w14:paraId="6B035535" w14:textId="77777777" w:rsidTr="00B74ED9">
        <w:tc>
          <w:tcPr>
            <w:tcW w:w="817" w:type="dxa"/>
            <w:vMerge/>
            <w:shd w:val="clear" w:color="auto" w:fill="D9D9D9" w:themeFill="background1" w:themeFillShade="D9"/>
            <w:vAlign w:val="center"/>
          </w:tcPr>
          <w:p w14:paraId="724E636D" w14:textId="77777777" w:rsidR="00A60CCF" w:rsidRPr="00100514" w:rsidRDefault="00A60CCF" w:rsidP="00B74ED9">
            <w:pPr>
              <w:pStyle w:val="TableContents"/>
              <w:contextualSpacing/>
              <w:jc w:val="center"/>
              <w:rPr>
                <w:rFonts w:asciiTheme="minorHAnsi" w:hAnsiTheme="minorHAnsi" w:cstheme="minorHAnsi"/>
                <w:b/>
                <w:sz w:val="18"/>
                <w:szCs w:val="18"/>
              </w:rPr>
            </w:pPr>
          </w:p>
        </w:tc>
        <w:tc>
          <w:tcPr>
            <w:tcW w:w="1559" w:type="dxa"/>
            <w:vAlign w:val="center"/>
          </w:tcPr>
          <w:p w14:paraId="444948C1"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Opdrachtgevers, leveranciers</w:t>
            </w:r>
          </w:p>
        </w:tc>
        <w:tc>
          <w:tcPr>
            <w:tcW w:w="2977" w:type="dxa"/>
            <w:vAlign w:val="center"/>
          </w:tcPr>
          <w:p w14:paraId="4A78ED34"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iCs/>
                <w:sz w:val="18"/>
                <w:szCs w:val="18"/>
              </w:rPr>
              <w:t>Het huidige energiegebruik en trends binnen het bedrijf, de behaalde besparingen in CO2-uitstoot</w:t>
            </w:r>
            <w:r w:rsidRPr="00100514">
              <w:rPr>
                <w:rFonts w:asciiTheme="minorHAnsi" w:hAnsiTheme="minorHAnsi" w:cstheme="minorHAnsi"/>
                <w:sz w:val="18"/>
                <w:szCs w:val="18"/>
              </w:rPr>
              <w:t xml:space="preserve">, </w:t>
            </w:r>
          </w:p>
        </w:tc>
        <w:tc>
          <w:tcPr>
            <w:tcW w:w="992" w:type="dxa"/>
            <w:vAlign w:val="center"/>
          </w:tcPr>
          <w:p w14:paraId="1C30BC9C"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Website</w:t>
            </w:r>
          </w:p>
        </w:tc>
        <w:tc>
          <w:tcPr>
            <w:tcW w:w="1134" w:type="dxa"/>
            <w:vAlign w:val="center"/>
          </w:tcPr>
          <w:p w14:paraId="14C0628C"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Half- jaarlijks</w:t>
            </w:r>
          </w:p>
        </w:tc>
        <w:tc>
          <w:tcPr>
            <w:tcW w:w="1701" w:type="dxa"/>
            <w:vAlign w:val="center"/>
          </w:tcPr>
          <w:p w14:paraId="33915F57" w14:textId="77777777" w:rsidR="00A60CCF" w:rsidRPr="00100514" w:rsidRDefault="00A60CCF" w:rsidP="00B74ED9">
            <w:pPr>
              <w:pStyle w:val="TableContents"/>
              <w:contextualSpacing/>
              <w:rPr>
                <w:rFonts w:asciiTheme="minorHAnsi" w:hAnsiTheme="minorHAnsi" w:cstheme="minorHAnsi"/>
                <w:sz w:val="18"/>
                <w:szCs w:val="18"/>
              </w:rPr>
            </w:pPr>
            <w:r w:rsidRPr="00100514">
              <w:rPr>
                <w:rFonts w:asciiTheme="minorHAnsi" w:hAnsiTheme="minorHAnsi" w:cstheme="minorHAnsi"/>
                <w:sz w:val="18"/>
                <w:szCs w:val="18"/>
              </w:rPr>
              <w:t>KAM-coördinator</w:t>
            </w:r>
          </w:p>
        </w:tc>
      </w:tr>
    </w:tbl>
    <w:p w14:paraId="79E8D2D4" w14:textId="77777777" w:rsidR="00A60CCF" w:rsidRDefault="00A60CCF"/>
    <w:sectPr w:rsidR="00A60CCF" w:rsidSect="00E9566B">
      <w:footerReference w:type="default" r:id="rId9"/>
      <w:pgSz w:w="11906" w:h="16838"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F9E7" w14:textId="77777777" w:rsidR="00AF765B" w:rsidRDefault="00AF765B" w:rsidP="00A60CCF">
      <w:pPr>
        <w:spacing w:after="0" w:line="240" w:lineRule="auto"/>
      </w:pPr>
      <w:r>
        <w:separator/>
      </w:r>
    </w:p>
  </w:endnote>
  <w:endnote w:type="continuationSeparator" w:id="0">
    <w:p w14:paraId="4A6A8A5D" w14:textId="77777777" w:rsidR="00AF765B" w:rsidRDefault="00AF765B" w:rsidP="00A6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iavlo Book">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75793851"/>
      <w:docPartObj>
        <w:docPartGallery w:val="Page Numbers (Bottom of Page)"/>
        <w:docPartUnique/>
      </w:docPartObj>
    </w:sdtPr>
    <w:sdtEndPr/>
    <w:sdtContent>
      <w:p w14:paraId="7BF8AB5E" w14:textId="77777777" w:rsidR="00A60CCF" w:rsidRPr="00A60CCF" w:rsidRDefault="00A60CCF">
        <w:pPr>
          <w:pStyle w:val="Voettekst"/>
          <w:jc w:val="right"/>
          <w:rPr>
            <w:sz w:val="16"/>
            <w:szCs w:val="16"/>
          </w:rPr>
        </w:pPr>
        <w:r w:rsidRPr="00A60CCF">
          <w:rPr>
            <w:sz w:val="16"/>
            <w:szCs w:val="16"/>
          </w:rPr>
          <w:fldChar w:fldCharType="begin"/>
        </w:r>
        <w:r w:rsidRPr="00A60CCF">
          <w:rPr>
            <w:sz w:val="16"/>
            <w:szCs w:val="16"/>
          </w:rPr>
          <w:instrText>PAGE   \* MERGEFORMAT</w:instrText>
        </w:r>
        <w:r w:rsidRPr="00A60CCF">
          <w:rPr>
            <w:sz w:val="16"/>
            <w:szCs w:val="16"/>
          </w:rPr>
          <w:fldChar w:fldCharType="separate"/>
        </w:r>
        <w:r w:rsidRPr="00A60CCF">
          <w:rPr>
            <w:sz w:val="16"/>
            <w:szCs w:val="16"/>
          </w:rPr>
          <w:t>2</w:t>
        </w:r>
        <w:r w:rsidRPr="00A60CCF">
          <w:rPr>
            <w:sz w:val="16"/>
            <w:szCs w:val="16"/>
          </w:rPr>
          <w:fldChar w:fldCharType="end"/>
        </w:r>
      </w:p>
    </w:sdtContent>
  </w:sdt>
  <w:p w14:paraId="0DD33102" w14:textId="77777777" w:rsidR="00A60CCF" w:rsidRDefault="00A60C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06E4" w14:textId="77777777" w:rsidR="00AF765B" w:rsidRDefault="00AF765B" w:rsidP="00A60CCF">
      <w:pPr>
        <w:spacing w:after="0" w:line="240" w:lineRule="auto"/>
      </w:pPr>
      <w:r>
        <w:separator/>
      </w:r>
    </w:p>
  </w:footnote>
  <w:footnote w:type="continuationSeparator" w:id="0">
    <w:p w14:paraId="5AF8FB68" w14:textId="77777777" w:rsidR="00AF765B" w:rsidRDefault="00AF765B" w:rsidP="00A60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4AB"/>
    <w:multiLevelType w:val="multilevel"/>
    <w:tmpl w:val="225473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071777"/>
    <w:multiLevelType w:val="hybridMultilevel"/>
    <w:tmpl w:val="E7D222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271491"/>
    <w:multiLevelType w:val="multilevel"/>
    <w:tmpl w:val="7B2A9A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CB3538"/>
    <w:multiLevelType w:val="hybridMultilevel"/>
    <w:tmpl w:val="F25AEECC"/>
    <w:lvl w:ilvl="0" w:tplc="8E26CF0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E24E14"/>
    <w:multiLevelType w:val="hybridMultilevel"/>
    <w:tmpl w:val="36D2A27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E91059"/>
    <w:multiLevelType w:val="hybridMultilevel"/>
    <w:tmpl w:val="C9B498A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15:restartNumberingAfterBreak="0">
    <w:nsid w:val="45ED661F"/>
    <w:multiLevelType w:val="hybridMultilevel"/>
    <w:tmpl w:val="4A6A3A32"/>
    <w:lvl w:ilvl="0" w:tplc="04130009">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D5A3B61"/>
    <w:multiLevelType w:val="hybridMultilevel"/>
    <w:tmpl w:val="D9D44B94"/>
    <w:lvl w:ilvl="0" w:tplc="E3E0C478">
      <w:start w:val="1"/>
      <w:numFmt w:val="bullet"/>
      <w:lvlText w:val=""/>
      <w:lvlJc w:val="left"/>
      <w:pPr>
        <w:ind w:left="644" w:hanging="360"/>
      </w:pPr>
      <w:rPr>
        <w:rFonts w:ascii="Symbol" w:hAnsi="Symbol" w:hint="default"/>
        <w:sz w:val="18"/>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051E1E"/>
    <w:multiLevelType w:val="hybridMultilevel"/>
    <w:tmpl w:val="4702A0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45508AB"/>
    <w:multiLevelType w:val="hybridMultilevel"/>
    <w:tmpl w:val="E2E4F2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5AA1978"/>
    <w:multiLevelType w:val="hybridMultilevel"/>
    <w:tmpl w:val="8AA683CC"/>
    <w:lvl w:ilvl="0" w:tplc="AB7EAD2A">
      <w:start w:val="1"/>
      <w:numFmt w:val="bullet"/>
      <w:lvlText w:val=""/>
      <w:lvlJc w:val="left"/>
      <w:pPr>
        <w:ind w:left="360" w:hanging="360"/>
      </w:pPr>
      <w:rPr>
        <w:rFonts w:ascii="Symbol" w:hAnsi="Symbol"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9E6C82"/>
    <w:multiLevelType w:val="multilevel"/>
    <w:tmpl w:val="0413001F"/>
    <w:lvl w:ilvl="0">
      <w:start w:val="1"/>
      <w:numFmt w:val="decimal"/>
      <w:lvlText w:val="%1."/>
      <w:lvlJc w:val="left"/>
      <w:pPr>
        <w:ind w:left="36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1.%2."/>
      <w:lvlJc w:val="left"/>
      <w:pPr>
        <w:ind w:left="792" w:hanging="432"/>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11D3E48"/>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7D4A52EE"/>
    <w:multiLevelType w:val="multilevel"/>
    <w:tmpl w:val="B420C95A"/>
    <w:lvl w:ilvl="0">
      <w:start w:val="1"/>
      <w:numFmt w:val="bullet"/>
      <w:pStyle w:val="Lijst"/>
      <w:lvlText w:val=""/>
      <w:lvlJc w:val="left"/>
      <w:pPr>
        <w:tabs>
          <w:tab w:val="num" w:pos="0"/>
        </w:tabs>
        <w:ind w:left="357" w:hanging="357"/>
      </w:pPr>
      <w:rPr>
        <w:rFonts w:ascii="Symbol" w:hAnsi="Symbol" w:hint="default"/>
        <w:color w:val="auto"/>
        <w:sz w:val="16"/>
        <w:szCs w:val="16"/>
      </w:rPr>
    </w:lvl>
    <w:lvl w:ilvl="1">
      <w:start w:val="9"/>
      <w:numFmt w:val="bullet"/>
      <w:lvlText w:val="–"/>
      <w:lvlJc w:val="left"/>
      <w:pPr>
        <w:tabs>
          <w:tab w:val="num" w:pos="0"/>
        </w:tabs>
        <w:ind w:left="714" w:hanging="357"/>
      </w:pPr>
      <w:rPr>
        <w:rFonts w:ascii="Calibri" w:hAnsi="Calibri" w:cs="Times New Roman"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num w:numId="1">
    <w:abstractNumId w:val="13"/>
  </w:num>
  <w:num w:numId="2">
    <w:abstractNumId w:val="12"/>
  </w:num>
  <w:num w:numId="3">
    <w:abstractNumId w:val="3"/>
  </w:num>
  <w:num w:numId="4">
    <w:abstractNumId w:val="9"/>
  </w:num>
  <w:num w:numId="5">
    <w:abstractNumId w:val="7"/>
  </w:num>
  <w:num w:numId="6">
    <w:abstractNumId w:val="10"/>
  </w:num>
  <w:num w:numId="7">
    <w:abstractNumId w:val="8"/>
  </w:num>
  <w:num w:numId="8">
    <w:abstractNumId w:val="6"/>
  </w:num>
  <w:num w:numId="9">
    <w:abstractNumId w:val="4"/>
  </w:num>
  <w:num w:numId="10">
    <w:abstractNumId w:val="11"/>
  </w:num>
  <w:num w:numId="11">
    <w:abstractNumId w:val="5"/>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6B"/>
    <w:rsid w:val="00106D41"/>
    <w:rsid w:val="00235766"/>
    <w:rsid w:val="009567E3"/>
    <w:rsid w:val="00A60CCF"/>
    <w:rsid w:val="00AF765B"/>
    <w:rsid w:val="00C37F56"/>
    <w:rsid w:val="00E95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FCF63"/>
  <w15:chartTrackingRefBased/>
  <w15:docId w15:val="{C397FA5B-1602-43D5-86B5-32A5D714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66B"/>
    <w:pPr>
      <w:spacing w:after="200" w:line="276" w:lineRule="auto"/>
    </w:pPr>
  </w:style>
  <w:style w:type="paragraph" w:styleId="Kop1">
    <w:name w:val="heading 1"/>
    <w:basedOn w:val="Standaard"/>
    <w:next w:val="Standaard"/>
    <w:link w:val="Kop1Char"/>
    <w:uiPriority w:val="9"/>
    <w:qFormat/>
    <w:rsid w:val="00E9566B"/>
    <w:pPr>
      <w:keepNext/>
      <w:keepLines/>
      <w:numPr>
        <w:numId w:val="2"/>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E9566B"/>
    <w:pPr>
      <w:keepNext/>
      <w:keepLines/>
      <w:numPr>
        <w:ilvl w:val="1"/>
        <w:numId w:val="2"/>
      </w:numPr>
      <w:snapToGrid w:val="0"/>
      <w:spacing w:after="120" w:line="252" w:lineRule="atLeast"/>
      <w:outlineLvl w:val="1"/>
    </w:pPr>
    <w:rPr>
      <w:rFonts w:ascii="Calibri" w:eastAsia="Times New Roman" w:hAnsi="Calibri" w:cs="Times New Roman"/>
      <w:b/>
      <w:sz w:val="21"/>
      <w:szCs w:val="21"/>
      <w:lang w:val="x-none"/>
    </w:rPr>
  </w:style>
  <w:style w:type="paragraph" w:styleId="Kop3">
    <w:name w:val="heading 3"/>
    <w:basedOn w:val="Kop2"/>
    <w:next w:val="Standaard"/>
    <w:link w:val="Kop3Char"/>
    <w:unhideWhenUsed/>
    <w:qFormat/>
    <w:rsid w:val="00E9566B"/>
    <w:pPr>
      <w:numPr>
        <w:ilvl w:val="2"/>
      </w:numPr>
      <w:snapToGrid/>
      <w:outlineLvl w:val="2"/>
    </w:pPr>
    <w:rPr>
      <w:rFonts w:cs="Calibri"/>
    </w:rPr>
  </w:style>
  <w:style w:type="paragraph" w:styleId="Kop4">
    <w:name w:val="heading 4"/>
    <w:basedOn w:val="Kop3"/>
    <w:next w:val="Standaard"/>
    <w:link w:val="Kop4Char"/>
    <w:uiPriority w:val="9"/>
    <w:unhideWhenUsed/>
    <w:qFormat/>
    <w:rsid w:val="00E9566B"/>
    <w:pPr>
      <w:numPr>
        <w:ilvl w:val="3"/>
      </w:numPr>
      <w:outlineLvl w:val="3"/>
    </w:pPr>
    <w:rPr>
      <w:rFonts w:ascii="Diavlo Book" w:hAnsi="Diavlo Book" w:cs="Times New Roman"/>
    </w:rPr>
  </w:style>
  <w:style w:type="paragraph" w:styleId="Kop5">
    <w:name w:val="heading 5"/>
    <w:basedOn w:val="Standaard"/>
    <w:next w:val="Standaard"/>
    <w:link w:val="Kop5Char"/>
    <w:uiPriority w:val="9"/>
    <w:semiHidden/>
    <w:unhideWhenUsed/>
    <w:qFormat/>
    <w:rsid w:val="00E9566B"/>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E9566B"/>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E9566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9566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9566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566B"/>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E9566B"/>
    <w:rPr>
      <w:rFonts w:ascii="Calibri" w:eastAsia="Times New Roman" w:hAnsi="Calibri" w:cs="Times New Roman"/>
      <w:b/>
      <w:sz w:val="21"/>
      <w:szCs w:val="21"/>
      <w:lang w:val="x-none"/>
    </w:rPr>
  </w:style>
  <w:style w:type="character" w:customStyle="1" w:styleId="Kop3Char">
    <w:name w:val="Kop 3 Char"/>
    <w:basedOn w:val="Standaardalinea-lettertype"/>
    <w:link w:val="Kop3"/>
    <w:rsid w:val="00E9566B"/>
    <w:rPr>
      <w:rFonts w:ascii="Calibri" w:eastAsia="Times New Roman" w:hAnsi="Calibri" w:cs="Calibri"/>
      <w:b/>
      <w:sz w:val="21"/>
      <w:szCs w:val="21"/>
      <w:lang w:val="x-none"/>
    </w:rPr>
  </w:style>
  <w:style w:type="character" w:customStyle="1" w:styleId="Kop4Char">
    <w:name w:val="Kop 4 Char"/>
    <w:basedOn w:val="Standaardalinea-lettertype"/>
    <w:link w:val="Kop4"/>
    <w:uiPriority w:val="9"/>
    <w:rsid w:val="00E9566B"/>
    <w:rPr>
      <w:rFonts w:ascii="Diavlo Book" w:eastAsia="Times New Roman" w:hAnsi="Diavlo Book" w:cs="Times New Roman"/>
      <w:b/>
      <w:sz w:val="21"/>
      <w:szCs w:val="21"/>
      <w:lang w:val="x-none"/>
    </w:rPr>
  </w:style>
  <w:style w:type="character" w:customStyle="1" w:styleId="Kop5Char">
    <w:name w:val="Kop 5 Char"/>
    <w:basedOn w:val="Standaardalinea-lettertype"/>
    <w:link w:val="Kop5"/>
    <w:uiPriority w:val="9"/>
    <w:semiHidden/>
    <w:rsid w:val="00E9566B"/>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E9566B"/>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E9566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9566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E9566B"/>
    <w:rPr>
      <w:rFonts w:asciiTheme="majorHAnsi" w:eastAsiaTheme="majorEastAsia" w:hAnsiTheme="majorHAnsi" w:cstheme="majorBidi"/>
      <w:i/>
      <w:iCs/>
      <w:color w:val="404040" w:themeColor="text1" w:themeTint="BF"/>
      <w:sz w:val="20"/>
      <w:szCs w:val="20"/>
    </w:rPr>
  </w:style>
  <w:style w:type="paragraph" w:styleId="Lijst">
    <w:name w:val="List"/>
    <w:basedOn w:val="Standaard"/>
    <w:link w:val="LijstChar"/>
    <w:uiPriority w:val="99"/>
    <w:unhideWhenUsed/>
    <w:rsid w:val="00E9566B"/>
    <w:pPr>
      <w:numPr>
        <w:numId w:val="1"/>
      </w:numPr>
      <w:spacing w:after="0" w:line="252" w:lineRule="atLeast"/>
    </w:pPr>
    <w:rPr>
      <w:rFonts w:ascii="Calibri" w:eastAsia="Calibri" w:hAnsi="Calibri" w:cs="Times New Roman"/>
      <w:sz w:val="21"/>
    </w:rPr>
  </w:style>
  <w:style w:type="paragraph" w:customStyle="1" w:styleId="Geenafstand1">
    <w:name w:val="Geen afstand1"/>
    <w:uiPriority w:val="1"/>
    <w:qFormat/>
    <w:locked/>
    <w:rsid w:val="00E9566B"/>
    <w:pPr>
      <w:spacing w:after="0" w:line="240" w:lineRule="auto"/>
    </w:pPr>
    <w:rPr>
      <w:rFonts w:ascii="Calibri" w:eastAsia="Calibri" w:hAnsi="Calibri" w:cs="Times New Roman"/>
      <w:sz w:val="21"/>
    </w:rPr>
  </w:style>
  <w:style w:type="paragraph" w:styleId="Geenafstand">
    <w:name w:val="No Spacing"/>
    <w:uiPriority w:val="1"/>
    <w:qFormat/>
    <w:rsid w:val="00E9566B"/>
    <w:pPr>
      <w:spacing w:after="0" w:line="240" w:lineRule="auto"/>
    </w:pPr>
  </w:style>
  <w:style w:type="character" w:customStyle="1" w:styleId="LijstChar">
    <w:name w:val="Lijst Char"/>
    <w:link w:val="Lijst"/>
    <w:uiPriority w:val="99"/>
    <w:rsid w:val="00E9566B"/>
    <w:rPr>
      <w:rFonts w:ascii="Calibri" w:eastAsia="Calibri" w:hAnsi="Calibri" w:cs="Times New Roman"/>
      <w:sz w:val="21"/>
    </w:rPr>
  </w:style>
  <w:style w:type="table" w:styleId="Tabelraster">
    <w:name w:val="Table Grid"/>
    <w:basedOn w:val="Standaardtabel"/>
    <w:uiPriority w:val="59"/>
    <w:rsid w:val="00E9566B"/>
    <w:pPr>
      <w:spacing w:after="0" w:line="240" w:lineRule="auto"/>
    </w:pPr>
    <w:rPr>
      <w:rFonts w:ascii="Calibri" w:eastAsia="Calibri" w:hAnsi="Calibri" w:cs="Times New Roman"/>
      <w:sz w:val="20"/>
      <w:szCs w:val="20"/>
      <w:lang w:eastAsia="nl-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Standaard"/>
    <w:link w:val="TableContentsCharChar"/>
    <w:uiPriority w:val="99"/>
    <w:rsid w:val="00A60CCF"/>
    <w:pPr>
      <w:spacing w:after="0" w:line="252" w:lineRule="atLeast"/>
    </w:pPr>
    <w:rPr>
      <w:rFonts w:ascii="Calibri" w:eastAsia="Calibri" w:hAnsi="Calibri" w:cs="Times New Roman"/>
      <w:szCs w:val="20"/>
    </w:rPr>
  </w:style>
  <w:style w:type="character" w:customStyle="1" w:styleId="TableContentsCharChar">
    <w:name w:val="Table Contents Char Char"/>
    <w:link w:val="TableContents"/>
    <w:uiPriority w:val="99"/>
    <w:locked/>
    <w:rsid w:val="00A60CCF"/>
    <w:rPr>
      <w:rFonts w:ascii="Calibri" w:eastAsia="Calibri" w:hAnsi="Calibri" w:cs="Times New Roman"/>
      <w:szCs w:val="20"/>
    </w:rPr>
  </w:style>
  <w:style w:type="paragraph" w:styleId="Koptekst">
    <w:name w:val="header"/>
    <w:basedOn w:val="Standaard"/>
    <w:link w:val="KoptekstChar"/>
    <w:uiPriority w:val="99"/>
    <w:unhideWhenUsed/>
    <w:rsid w:val="00A60C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0CCF"/>
  </w:style>
  <w:style w:type="paragraph" w:styleId="Voettekst">
    <w:name w:val="footer"/>
    <w:basedOn w:val="Standaard"/>
    <w:link w:val="VoettekstChar"/>
    <w:uiPriority w:val="99"/>
    <w:unhideWhenUsed/>
    <w:rsid w:val="00A60C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CO2 Uitstoot </a:t>
            </a:r>
            <a:r>
              <a:rPr lang="nl-NL" baseline="0"/>
              <a:t> 2019</a:t>
            </a:r>
            <a:endParaRPr lang="nl-NL"/>
          </a:p>
        </c:rich>
      </c:tx>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8.6063947507798416E-2"/>
          <c:y val="0.29382977187636322"/>
          <c:w val="0.82317163884244204"/>
          <c:h val="0.67931203934287954"/>
        </c:manualLayout>
      </c:layout>
      <c:pie3DChart>
        <c:varyColors val="1"/>
        <c:ser>
          <c:idx val="0"/>
          <c:order val="0"/>
          <c:tx>
            <c:strRef>
              <c:f>Blad1!$B$1</c:f>
              <c:strCache>
                <c:ptCount val="1"/>
                <c:pt idx="0">
                  <c:v>CO2 Uitstoot </c:v>
                </c:pt>
              </c:strCache>
            </c:strRef>
          </c:tx>
          <c:dLbls>
            <c:dLbl>
              <c:idx val="0"/>
              <c:layout>
                <c:manualLayout>
                  <c:x val="4.3723651636253677E-2"/>
                  <c:y val="-7.235966269461434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9F8-4871-8A6E-394B42490716}"/>
                </c:ext>
              </c:extLst>
            </c:dLbl>
            <c:dLbl>
              <c:idx val="1"/>
              <c:layout>
                <c:manualLayout>
                  <c:x val="6.6773932056489599E-2"/>
                  <c:y val="-0.304136604287556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9F8-4871-8A6E-394B42490716}"/>
                </c:ext>
              </c:extLst>
            </c:dLbl>
            <c:dLbl>
              <c:idx val="2"/>
              <c:layout>
                <c:manualLayout>
                  <c:x val="0.27267633282066789"/>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9F8-4871-8A6E-394B42490716}"/>
                </c:ext>
              </c:extLst>
            </c:dLbl>
            <c:dLbl>
              <c:idx val="3"/>
              <c:layout>
                <c:manualLayout>
                  <c:x val="-0.17547460991416144"/>
                  <c:y val="-3.39808760654034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9F8-4871-8A6E-394B42490716}"/>
                </c:ext>
              </c:extLst>
            </c:dLbl>
            <c:dLbl>
              <c:idx val="4"/>
              <c:layout>
                <c:manualLayout>
                  <c:x val="-0.27084265551947911"/>
                  <c:y val="-0.233886276582918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9F8-4871-8A6E-394B42490716}"/>
                </c:ext>
              </c:extLst>
            </c:dLbl>
            <c:dLbl>
              <c:idx val="5"/>
              <c:layout>
                <c:manualLayout>
                  <c:x val="-0.17156240277978607"/>
                  <c:y val="1.438802481845246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9F8-4871-8A6E-394B42490716}"/>
                </c:ext>
              </c:extLst>
            </c:dLbl>
            <c:dLbl>
              <c:idx val="6"/>
              <c:layout>
                <c:manualLayout>
                  <c:x val="-0.12633698333618149"/>
                  <c:y val="-0.196918181161990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9F8-4871-8A6E-394B42490716}"/>
                </c:ext>
              </c:extLst>
            </c:dLbl>
            <c:dLbl>
              <c:idx val="7"/>
              <c:layout>
                <c:manualLayout>
                  <c:x val="-7.8419412932315014E-3"/>
                  <c:y val="-0.1955288520381743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9F8-4871-8A6E-394B4249071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Blad1!$A$2:$A$10</c:f>
              <c:strCache>
                <c:ptCount val="9"/>
                <c:pt idx="0">
                  <c:v>diesel materieel</c:v>
                </c:pt>
                <c:pt idx="1">
                  <c:v>diesel wagenpark</c:v>
                </c:pt>
                <c:pt idx="2">
                  <c:v>benzine materieel</c:v>
                </c:pt>
                <c:pt idx="3">
                  <c:v>benzine wagenpark</c:v>
                </c:pt>
                <c:pt idx="4">
                  <c:v>diesel personen autos</c:v>
                </c:pt>
                <c:pt idx="5">
                  <c:v>benzine personen autos</c:v>
                </c:pt>
                <c:pt idx="6">
                  <c:v>smeermiddel</c:v>
                </c:pt>
                <c:pt idx="7">
                  <c:v>Elektra </c:v>
                </c:pt>
                <c:pt idx="8">
                  <c:v>Gas</c:v>
                </c:pt>
              </c:strCache>
            </c:strRef>
          </c:cat>
          <c:val>
            <c:numRef>
              <c:f>Blad1!$B$2:$B$10</c:f>
              <c:numCache>
                <c:formatCode>General</c:formatCode>
                <c:ptCount val="9"/>
                <c:pt idx="0">
                  <c:v>42.59</c:v>
                </c:pt>
                <c:pt idx="1">
                  <c:v>134.07</c:v>
                </c:pt>
                <c:pt idx="2">
                  <c:v>0.14000000000000001</c:v>
                </c:pt>
                <c:pt idx="3">
                  <c:v>0.79</c:v>
                </c:pt>
                <c:pt idx="4">
                  <c:v>35.42</c:v>
                </c:pt>
                <c:pt idx="5">
                  <c:v>32.69</c:v>
                </c:pt>
                <c:pt idx="6">
                  <c:v>0.04</c:v>
                </c:pt>
                <c:pt idx="7">
                  <c:v>26.55</c:v>
                </c:pt>
                <c:pt idx="8">
                  <c:v>71.41</c:v>
                </c:pt>
              </c:numCache>
            </c:numRef>
          </c:val>
          <c:extLst>
            <c:ext xmlns:c16="http://schemas.microsoft.com/office/drawing/2014/chart" uri="{C3380CC4-5D6E-409C-BE32-E72D297353CC}">
              <c16:uniqueId val="{00000008-29F8-4871-8A6E-394B42490716}"/>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382466928506017E-2"/>
          <c:y val="0.15686507936507937"/>
          <c:w val="0.89955773127174454"/>
          <c:h val="0.69205005624296967"/>
        </c:manualLayout>
      </c:layout>
      <c:bar3DChart>
        <c:barDir val="col"/>
        <c:grouping val="clustered"/>
        <c:varyColors val="0"/>
        <c:ser>
          <c:idx val="0"/>
          <c:order val="0"/>
          <c:tx>
            <c:strRef>
              <c:f>Blad1!$B$1</c:f>
              <c:strCache>
                <c:ptCount val="1"/>
                <c:pt idx="0">
                  <c:v>CO2 uitstoot in tonnen</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2014</c:v>
                </c:pt>
                <c:pt idx="1">
                  <c:v>2015</c:v>
                </c:pt>
                <c:pt idx="2">
                  <c:v>2016</c:v>
                </c:pt>
                <c:pt idx="3">
                  <c:v>2017 (nieuw basisjaar)</c:v>
                </c:pt>
                <c:pt idx="4">
                  <c:v>2018</c:v>
                </c:pt>
                <c:pt idx="5">
                  <c:v>2019</c:v>
                </c:pt>
              </c:strCache>
            </c:strRef>
          </c:cat>
          <c:val>
            <c:numRef>
              <c:f>Blad1!$B$2:$B$7</c:f>
              <c:numCache>
                <c:formatCode>General</c:formatCode>
                <c:ptCount val="6"/>
                <c:pt idx="0">
                  <c:v>191</c:v>
                </c:pt>
                <c:pt idx="1">
                  <c:v>210</c:v>
                </c:pt>
                <c:pt idx="2">
                  <c:v>191</c:v>
                </c:pt>
                <c:pt idx="3">
                  <c:v>403</c:v>
                </c:pt>
                <c:pt idx="4">
                  <c:v>333</c:v>
                </c:pt>
                <c:pt idx="5">
                  <c:v>344</c:v>
                </c:pt>
              </c:numCache>
            </c:numRef>
          </c:val>
          <c:extLst>
            <c:ext xmlns:c16="http://schemas.microsoft.com/office/drawing/2014/chart" uri="{C3380CC4-5D6E-409C-BE32-E72D297353CC}">
              <c16:uniqueId val="{00000000-9542-46EE-B807-76E920FB70F1}"/>
            </c:ext>
          </c:extLst>
        </c:ser>
        <c:dLbls>
          <c:showLegendKey val="0"/>
          <c:showVal val="0"/>
          <c:showCatName val="0"/>
          <c:showSerName val="0"/>
          <c:showPercent val="0"/>
          <c:showBubbleSize val="0"/>
        </c:dLbls>
        <c:gapWidth val="150"/>
        <c:shape val="box"/>
        <c:axId val="163704832"/>
        <c:axId val="163706752"/>
        <c:axId val="0"/>
      </c:bar3DChart>
      <c:catAx>
        <c:axId val="16370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163706752"/>
        <c:crosses val="autoZero"/>
        <c:auto val="1"/>
        <c:lblAlgn val="ctr"/>
        <c:lblOffset val="100"/>
        <c:noMultiLvlLbl val="0"/>
      </c:catAx>
      <c:valAx>
        <c:axId val="1637067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163704832"/>
        <c:crosses val="autoZero"/>
        <c:crossBetween val="between"/>
      </c:valAx>
      <c:spPr>
        <a:noFill/>
        <a:ln>
          <a:solidFill>
            <a:schemeClr val="bg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1480</Words>
  <Characters>8142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Goossens</dc:creator>
  <cp:keywords/>
  <dc:description/>
  <cp:lastModifiedBy>Sandra van Vuuren</cp:lastModifiedBy>
  <cp:revision>2</cp:revision>
  <dcterms:created xsi:type="dcterms:W3CDTF">2020-03-26T15:27:00Z</dcterms:created>
  <dcterms:modified xsi:type="dcterms:W3CDTF">2020-03-30T14:30:00Z</dcterms:modified>
</cp:coreProperties>
</file>